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58" w:rsidRPr="00F71F8D" w:rsidRDefault="004B6858" w:rsidP="005C0116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  <w:r w:rsidRPr="006A7551">
        <w:rPr>
          <w:rFonts w:asciiTheme="minorHAnsi" w:hAnsiTheme="minorHAnsi"/>
          <w:b/>
          <w:sz w:val="28"/>
          <w:szCs w:val="28"/>
        </w:rPr>
        <w:t xml:space="preserve">MUNICÍPIO DE </w:t>
      </w:r>
      <w:r>
        <w:rPr>
          <w:rFonts w:asciiTheme="minorHAnsi" w:hAnsiTheme="minorHAnsi"/>
          <w:b/>
          <w:sz w:val="28"/>
          <w:szCs w:val="28"/>
        </w:rPr>
        <w:t>CAMINHA</w:t>
      </w:r>
    </w:p>
    <w:p w:rsidR="004C35E0" w:rsidRPr="006A7551" w:rsidRDefault="004C35E0" w:rsidP="005C0116">
      <w:pPr>
        <w:tabs>
          <w:tab w:val="left" w:pos="3645"/>
        </w:tabs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  <w:r w:rsidRPr="007B3960">
        <w:rPr>
          <w:rFonts w:ascii="Swis721 Lt BT" w:hAnsi="Swis721 Lt BT"/>
        </w:rPr>
        <w:object w:dxaOrig="1500" w:dyaOrig="15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48.75pt" o:ole="">
            <v:imagedata r:id="rId7" o:title=""/>
          </v:shape>
          <o:OLEObject Type="Embed" ProgID="MSPhotoEd.3" ShapeID="_x0000_i1025" DrawAspect="Content" ObjectID="_1586854456" r:id="rId8"/>
        </w:object>
      </w: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3756CB" w:rsidRPr="00D21DCD" w:rsidRDefault="003756CB" w:rsidP="003756CB">
      <w:pPr>
        <w:tabs>
          <w:tab w:val="left" w:pos="8647"/>
        </w:tabs>
        <w:spacing w:line="276" w:lineRule="auto"/>
        <w:ind w:left="-284" w:right="-285"/>
        <w:jc w:val="center"/>
        <w:rPr>
          <w:rFonts w:asciiTheme="minorHAnsi" w:hAnsiTheme="minorHAnsi" w:cs="Arial"/>
          <w:b/>
          <w:i/>
          <w:smallCaps/>
          <w:sz w:val="30"/>
          <w:szCs w:val="30"/>
        </w:rPr>
      </w:pPr>
      <w:r>
        <w:rPr>
          <w:rFonts w:asciiTheme="minorHAnsi" w:hAnsiTheme="minorHAnsi"/>
          <w:b/>
          <w:i/>
          <w:smallCaps/>
          <w:sz w:val="36"/>
          <w:szCs w:val="36"/>
        </w:rPr>
        <w:t>RALLY DE PORTUGAL 2018 – TRABALHOS A EXECUTAR NO CIRCUITO E ACESSOS</w:t>
      </w:r>
      <w:r w:rsidRPr="00AC7711">
        <w:rPr>
          <w:rFonts w:asciiTheme="minorHAnsi" w:hAnsiTheme="minorHAnsi"/>
          <w:b/>
          <w:i/>
          <w:smallCaps/>
          <w:sz w:val="36"/>
          <w:szCs w:val="36"/>
        </w:rPr>
        <w:t xml:space="preserve"> – </w:t>
      </w:r>
      <w:r>
        <w:rPr>
          <w:rFonts w:asciiTheme="minorHAnsi" w:hAnsiTheme="minorHAnsi" w:cs="ArialNegritoItálico,Bold"/>
          <w:b/>
          <w:bCs/>
          <w:i/>
          <w:smallCaps/>
          <w:sz w:val="36"/>
          <w:szCs w:val="36"/>
        </w:rPr>
        <w:t>78</w:t>
      </w:r>
      <w:r w:rsidRPr="00AC7711">
        <w:rPr>
          <w:rFonts w:asciiTheme="minorHAnsi" w:hAnsiTheme="minorHAnsi" w:cs="ArialNegritoItálico,Bold"/>
          <w:b/>
          <w:bCs/>
          <w:i/>
          <w:smallCaps/>
          <w:sz w:val="36"/>
          <w:szCs w:val="36"/>
        </w:rPr>
        <w:t>/18_CPR_E</w:t>
      </w:r>
    </w:p>
    <w:p w:rsidR="003756CB" w:rsidRPr="005C0116" w:rsidRDefault="003756CB" w:rsidP="003756CB">
      <w:pPr>
        <w:spacing w:before="120"/>
        <w:jc w:val="center"/>
        <w:outlineLvl w:val="0"/>
        <w:rPr>
          <w:rFonts w:asciiTheme="minorHAnsi" w:hAnsiTheme="minorHAnsi"/>
          <w:b/>
          <w:i/>
          <w:smallCaps/>
          <w:sz w:val="36"/>
          <w:szCs w:val="36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F71F8D" w:rsidRDefault="00486460" w:rsidP="005C0116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F71F8D">
        <w:rPr>
          <w:rFonts w:asciiTheme="minorHAnsi" w:eastAsia="Arial Unicode MS" w:hAnsiTheme="minorHAnsi" w:cs="Arial Unicode MS"/>
          <w:sz w:val="28"/>
          <w:szCs w:val="28"/>
        </w:rPr>
        <w:t>CADERNO DE ENCARGOS</w:t>
      </w:r>
      <w:r w:rsidR="00EB43ED">
        <w:rPr>
          <w:rFonts w:asciiTheme="minorHAnsi" w:eastAsia="Arial Unicode MS" w:hAnsiTheme="minorHAnsi" w:cs="Arial Unicode MS"/>
          <w:sz w:val="28"/>
          <w:szCs w:val="28"/>
        </w:rPr>
        <w:t xml:space="preserve"> – CLAUSULAS TÉCNICAS</w:t>
      </w:r>
      <w:r w:rsidRPr="00F71F8D">
        <w:rPr>
          <w:rFonts w:asciiTheme="minorHAnsi" w:hAnsiTheme="minorHAnsi"/>
          <w:sz w:val="22"/>
          <w:szCs w:val="22"/>
        </w:rPr>
        <w:br/>
      </w:r>
    </w:p>
    <w:p w:rsidR="00F71F8D" w:rsidRDefault="00F71F8D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F45111" w:rsidRDefault="00F45111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C35E0" w:rsidRDefault="004C35E0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C35E0" w:rsidRDefault="004C35E0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  <w:bookmarkStart w:id="0" w:name="_Toc211757067"/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756CB" w:rsidRDefault="003756CB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EB43ED" w:rsidRPr="00F71F8D" w:rsidRDefault="00EB43ED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  <w:r w:rsidRPr="00F71F8D">
        <w:rPr>
          <w:rFonts w:asciiTheme="minorHAnsi" w:hAnsiTheme="minorHAnsi" w:cs="Arial"/>
          <w:b/>
          <w:sz w:val="22"/>
          <w:szCs w:val="22"/>
        </w:rPr>
        <w:t>PARTE II</w:t>
      </w:r>
      <w:r>
        <w:rPr>
          <w:rFonts w:asciiTheme="minorHAnsi" w:hAnsiTheme="minorHAnsi" w:cs="Arial"/>
          <w:b/>
          <w:sz w:val="22"/>
          <w:szCs w:val="22"/>
        </w:rPr>
        <w:t>I</w:t>
      </w:r>
    </w:p>
    <w:p w:rsidR="00EB43ED" w:rsidRPr="00F71F8D" w:rsidRDefault="00EB43ED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mallCaps/>
          <w:sz w:val="22"/>
          <w:szCs w:val="22"/>
        </w:rPr>
      </w:pPr>
      <w:r w:rsidRPr="00F71F8D">
        <w:rPr>
          <w:rFonts w:asciiTheme="minorHAnsi" w:hAnsiTheme="minorHAnsi" w:cs="Arial"/>
          <w:b/>
          <w:smallCaps/>
          <w:sz w:val="22"/>
          <w:szCs w:val="22"/>
        </w:rPr>
        <w:t xml:space="preserve">Clausulas </w:t>
      </w:r>
      <w:r>
        <w:rPr>
          <w:rFonts w:asciiTheme="minorHAnsi" w:hAnsiTheme="minorHAnsi" w:cs="Arial"/>
          <w:b/>
          <w:smallCaps/>
          <w:sz w:val="22"/>
          <w:szCs w:val="22"/>
        </w:rPr>
        <w:t>Técnica</w:t>
      </w:r>
      <w:r w:rsidRPr="00F71F8D">
        <w:rPr>
          <w:rFonts w:asciiTheme="minorHAnsi" w:hAnsiTheme="minorHAnsi" w:cs="Arial"/>
          <w:b/>
          <w:smallCaps/>
          <w:sz w:val="22"/>
          <w:szCs w:val="22"/>
        </w:rPr>
        <w:t>s</w:t>
      </w:r>
    </w:p>
    <w:p w:rsidR="00EB43ED" w:rsidRDefault="00EB43ED" w:rsidP="008B3E57">
      <w:pPr>
        <w:spacing w:before="120"/>
        <w:jc w:val="center"/>
        <w:rPr>
          <w:rFonts w:asciiTheme="minorHAnsi" w:hAnsiTheme="minorHAnsi"/>
          <w:b/>
          <w:i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" w:name="_Toc211757068"/>
      <w:bookmarkEnd w:id="0"/>
      <w:r w:rsidRPr="005C0116">
        <w:rPr>
          <w:rFonts w:asciiTheme="minorHAnsi" w:hAnsiTheme="minorHAnsi"/>
          <w:b/>
          <w:sz w:val="22"/>
          <w:szCs w:val="22"/>
        </w:rPr>
        <w:t>Cláusula 1.ª</w:t>
      </w:r>
      <w:bookmarkEnd w:id="1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em PVC, PE e PP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Os materiais a utilizar bem como os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respectivos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diâmetros e classes de pressão serão os previstos no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projecto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>. Com</w:t>
      </w:r>
      <w:r>
        <w:rPr>
          <w:rFonts w:asciiTheme="minorHAnsi" w:hAnsiTheme="minorHAnsi" w:cs="TTE2EAA378t00"/>
          <w:sz w:val="22"/>
          <w:szCs w:val="22"/>
        </w:rPr>
        <w:t xml:space="preserve">o mínimos deverá considerar-se: </w:t>
      </w:r>
      <w:r w:rsidRPr="00197F95">
        <w:rPr>
          <w:rFonts w:asciiTheme="minorHAnsi" w:hAnsiTheme="minorHAnsi" w:cs="TTE2EAA378t00"/>
          <w:sz w:val="22"/>
          <w:szCs w:val="22"/>
        </w:rPr>
        <w:t>Aguas – P.N.: 1,0 MPA; Esgotos – R.C.D.: 0.8 MPA</w:t>
      </w:r>
    </w:p>
    <w:p w:rsidR="00EB43ED" w:rsidRPr="00197F95" w:rsidRDefault="00EB43ED" w:rsidP="008B3E57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No caso de tubagens para abastecimento de água, estas deverão ser de comprovada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atoxidade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e de elevada resistência química, devidamente homologadas pelo L.N.E.C. No caso de tubagens para esgoto, estas devem ser corrugados do tipo “ULTRA RIB” ou “AMBIDUR”.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A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recepção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dos materiais será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efectuada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de acordo com o disposto no documento de homologação do material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respectivo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ou normas oficiais aplicáveis, sendo os ensaios obrigatórios os indicados naqueles documentos.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Os tubos deverão ser armazenados até ao momento da sua montagem em local abrigado, devendo ser protegidos da entrada de materiais estranhos. É proibida a aplicação em obra de tubos que não se encontrem devidamente limpos ou que já tenham sido utilizados.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Os ensaios a realizar na obra para verificação das suas características e comportamento são os ensaios de pressão previstos na legislação em vigor sendo por conta do empreiteiro o fornecimento do equipamento e mão de obra necessário para o efeito, bem como os necessários escoramentos, entivações e eventuais maciços de apoio provisórios. Os ensaios terão que ser realizados na presença da fiscalização, procedendo-se a “Relatório de Ensaio”.</w:t>
      </w:r>
    </w:p>
    <w:p w:rsidR="00EB43ED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Todos os tubos devem conter a inscrição, bem visível, da marca do fabricante e do tipo e classe de material.</w:t>
      </w:r>
    </w:p>
    <w:p w:rsidR="00EB43ED" w:rsidRPr="0022167B" w:rsidRDefault="00EB43ED" w:rsidP="008B3E5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TTE2EAA378t00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" w:name="_Toc211757069"/>
      <w:r w:rsidRPr="005C0116">
        <w:rPr>
          <w:rFonts w:asciiTheme="minorHAnsi" w:hAnsiTheme="minorHAnsi"/>
          <w:b/>
          <w:sz w:val="22"/>
          <w:szCs w:val="22"/>
        </w:rPr>
        <w:t>Cláusula 2.ª</w:t>
      </w:r>
      <w:bookmarkEnd w:id="2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de ferro fundido dúctil</w:t>
      </w:r>
    </w:p>
    <w:p w:rsidR="00EB43ED" w:rsidRPr="00602EEA" w:rsidRDefault="00EB43ED" w:rsidP="008B3E57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/>
          <w:sz w:val="22"/>
          <w:szCs w:val="22"/>
        </w:rPr>
        <w:t xml:space="preserve">A </w:t>
      </w:r>
      <w:r w:rsidRPr="00602EEA">
        <w:rPr>
          <w:rFonts w:asciiTheme="minorHAnsi" w:hAnsiTheme="minorHAnsi" w:cs="TTE2EAA378t00"/>
          <w:sz w:val="22"/>
          <w:szCs w:val="22"/>
        </w:rPr>
        <w:t>tubagem de ferro fundido dúctil deverá ser de marca acreditada internacionalmente e obedecer às normas e prescrições próprias dos países de origem, designadamente no que se refere à qualidade do material, rugosidade, tolerâncias de dimensões e peso, espessura do tubo, prova hidráulica e revestimento.</w:t>
      </w:r>
    </w:p>
    <w:p w:rsidR="00EB43ED" w:rsidRDefault="00EB43ED" w:rsidP="008B3E57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 xml:space="preserve">Se no </w:t>
      </w:r>
      <w:proofErr w:type="spellStart"/>
      <w:r w:rsidRPr="00602EEA">
        <w:rPr>
          <w:rFonts w:asciiTheme="minorHAnsi" w:hAnsiTheme="minorHAnsi" w:cs="TTE2EAA378t00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 w:cs="TTE2EAA378t00"/>
          <w:sz w:val="22"/>
          <w:szCs w:val="22"/>
        </w:rPr>
        <w:t xml:space="preserve"> ou no mapa de quantidades de trabalhos não estiver especificado em contrário, entende-se que os acessórios a utilizar serão também em ferro fundido dúctil, da mesma marca</w:t>
      </w:r>
      <w:r w:rsidRPr="00197F95">
        <w:rPr>
          <w:rFonts w:asciiTheme="minorHAnsi" w:hAnsiTheme="minorHAnsi"/>
          <w:sz w:val="22"/>
          <w:szCs w:val="22"/>
        </w:rPr>
        <w:t xml:space="preserve"> da tubagem, incluindo todos os pertences necessários à </w:t>
      </w:r>
      <w:proofErr w:type="spellStart"/>
      <w:r w:rsidRPr="00197F95">
        <w:rPr>
          <w:rFonts w:asciiTheme="minorHAnsi" w:hAnsiTheme="minorHAnsi"/>
          <w:sz w:val="22"/>
          <w:szCs w:val="22"/>
        </w:rPr>
        <w:t>efectivação</w:t>
      </w:r>
      <w:proofErr w:type="spellEnd"/>
      <w:r w:rsidRPr="00197F95">
        <w:rPr>
          <w:rFonts w:asciiTheme="minorHAnsi" w:hAnsiTheme="minorHAnsi"/>
          <w:sz w:val="22"/>
          <w:szCs w:val="22"/>
        </w:rPr>
        <w:t xml:space="preserve"> das ligações.</w:t>
      </w:r>
    </w:p>
    <w:p w:rsidR="00EB43ED" w:rsidRPr="00EC5E80" w:rsidRDefault="00EB43ED" w:rsidP="008B3E5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TTE2EAA378t00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" w:name="_Toc211757070"/>
      <w:r w:rsidRPr="005C0116">
        <w:rPr>
          <w:rFonts w:asciiTheme="minorHAnsi" w:hAnsiTheme="minorHAnsi"/>
          <w:b/>
          <w:sz w:val="22"/>
          <w:szCs w:val="22"/>
        </w:rPr>
        <w:t>Cláusula 3.ª</w:t>
      </w:r>
      <w:bookmarkEnd w:id="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de betão</w:t>
      </w:r>
    </w:p>
    <w:p w:rsidR="00EB43ED" w:rsidRPr="00602EEA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>As manilhas ou tubos de betão devem ser de fabrico industrializado, por centrifugação ou processo equivalente, e a sua superfície interior deverá ser perfeitamente lisa.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 xml:space="preserve">As juntas dos </w:t>
      </w:r>
      <w:proofErr w:type="spellStart"/>
      <w:r w:rsidRPr="00602EEA">
        <w:rPr>
          <w:rFonts w:asciiTheme="minorHAnsi" w:hAnsiTheme="minorHAnsi" w:cs="TTE2EAA378t00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 w:cs="TTE2EAA378t00"/>
          <w:sz w:val="22"/>
          <w:szCs w:val="22"/>
        </w:rPr>
        <w:t xml:space="preserve"> serão executadas com argamassa de cimento e areia ao traço 1 para 2, em</w:t>
      </w:r>
      <w:r w:rsidRPr="00602EEA">
        <w:rPr>
          <w:rFonts w:asciiTheme="minorHAnsi" w:hAnsiTheme="minorHAnsi"/>
          <w:sz w:val="22"/>
          <w:szCs w:val="22"/>
        </w:rPr>
        <w:t xml:space="preserve"> volume ou aplicação de juntas estanques fornecidas pelo fabricante.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Quando os ensaios de mais de 50% das amostras não derem resultados satisfatórios, o lote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será rejeitado.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As manilhas e tubos de betão a utilizar poderão, se a fiscalização assim o entender, ser sujeitas a ensaios de permeabilidade, devendo nesse caso poder suportar a pressão </w:t>
      </w:r>
      <w:r w:rsidRPr="00602EEA">
        <w:rPr>
          <w:rFonts w:asciiTheme="minorHAnsi" w:hAnsiTheme="minorHAnsi"/>
          <w:sz w:val="22"/>
          <w:szCs w:val="22"/>
        </w:rPr>
        <w:lastRenderedPageBreak/>
        <w:t xml:space="preserve">hidráulica de 0.2 </w:t>
      </w:r>
      <w:proofErr w:type="spellStart"/>
      <w:r w:rsidRPr="00602EEA">
        <w:rPr>
          <w:rFonts w:asciiTheme="minorHAnsi" w:hAnsiTheme="minorHAnsi"/>
          <w:sz w:val="22"/>
          <w:szCs w:val="22"/>
        </w:rPr>
        <w:t>Mpa</w:t>
      </w:r>
      <w:proofErr w:type="spellEnd"/>
      <w:r w:rsidRPr="00602EEA">
        <w:rPr>
          <w:rFonts w:asciiTheme="minorHAnsi" w:hAnsiTheme="minorHAnsi"/>
          <w:sz w:val="22"/>
          <w:szCs w:val="22"/>
        </w:rPr>
        <w:t>, a ensaios de absorção, não devendo nesse caso o aumento de peso do material (depois de mergulhado em água durante 24 horas) ser superior a 5% e a ensaios de esmagamento, devendo nesse caso suportar sem rotura a carga de 6.0 KN por metro, aplicada uniformemente em todo o comprimento do tubo, ao longo de duas geratrizes diametralmente opostas.</w:t>
      </w:r>
    </w:p>
    <w:p w:rsidR="00EB43ED" w:rsidRPr="00602EEA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Todos os materiais a empregar na obra devem ser acompanhados de certificados de origem e dos documentos de controle de qualidade. Nenhum material pode ser aplicado sem prévia autorização da fiscalização.</w:t>
      </w:r>
    </w:p>
    <w:p w:rsidR="00EB43ED" w:rsidRDefault="00EB43ED" w:rsidP="008B3E57">
      <w:pPr>
        <w:spacing w:before="120"/>
        <w:outlineLvl w:val="0"/>
        <w:rPr>
          <w:rFonts w:asciiTheme="minorHAnsi" w:hAnsiTheme="minorHAnsi"/>
          <w:b/>
          <w:sz w:val="22"/>
          <w:szCs w:val="22"/>
        </w:rPr>
      </w:pPr>
      <w:bookmarkStart w:id="4" w:name="_Toc211757072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Cláusula 4.ª</w:t>
      </w:r>
      <w:bookmarkEnd w:id="4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Critérios de medição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Nas obras de drenagem de águas residuais, a medição do comprimento dos </w:t>
      </w:r>
      <w:proofErr w:type="spellStart"/>
      <w:r w:rsidRPr="00602EEA">
        <w:rPr>
          <w:rFonts w:asciiTheme="minorHAnsi" w:hAnsiTheme="minorHAnsi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deverá </w:t>
      </w:r>
      <w:proofErr w:type="spellStart"/>
      <w:r w:rsidRPr="00602EEA">
        <w:rPr>
          <w:rFonts w:asciiTheme="minorHAnsi" w:hAnsiTheme="minorHAnsi"/>
          <w:sz w:val="22"/>
          <w:szCs w:val="22"/>
        </w:rPr>
        <w:t>efectuar-se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tendo por base o comprimento descrito nos perfis longitudinais, com dedução dos diâmetros inteiros das câmaras de visita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outlineLvl w:val="0"/>
        <w:rPr>
          <w:rFonts w:asciiTheme="minorHAnsi" w:hAnsiTheme="minorHAnsi"/>
          <w:i/>
        </w:rPr>
      </w:pPr>
      <w:bookmarkStart w:id="5" w:name="_Toc211757073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6" w:name="_Toc211757075"/>
      <w:bookmarkEnd w:id="5"/>
      <w:r w:rsidRPr="005C0116">
        <w:rPr>
          <w:rFonts w:asciiTheme="minorHAnsi" w:hAnsiTheme="minorHAnsi"/>
          <w:b/>
          <w:sz w:val="22"/>
          <w:szCs w:val="22"/>
        </w:rPr>
        <w:t>Cláusula 5.ª</w:t>
      </w:r>
      <w:bookmarkEnd w:id="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Válvulas de cunha</w:t>
      </w:r>
    </w:p>
    <w:p w:rsidR="00EB43ED" w:rsidRPr="00602EEA" w:rsidRDefault="00EB43ED" w:rsidP="008B3E57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Nas redes de abastecimento de água, serão sempre usadas válvulas de FFD, PN10 (mínimo) tipo “Saint-</w:t>
      </w:r>
      <w:proofErr w:type="spellStart"/>
      <w:r w:rsidRPr="00602EEA">
        <w:rPr>
          <w:rFonts w:asciiTheme="minorHAnsi" w:hAnsiTheme="minorHAnsi"/>
          <w:sz w:val="22"/>
          <w:szCs w:val="22"/>
        </w:rPr>
        <w:t>Gobin</w:t>
      </w:r>
      <w:proofErr w:type="spellEnd"/>
      <w:r w:rsidRPr="00602EEA">
        <w:rPr>
          <w:rFonts w:asciiTheme="minorHAnsi" w:hAnsiTheme="minorHAnsi"/>
          <w:sz w:val="22"/>
          <w:szCs w:val="22"/>
        </w:rPr>
        <w:t>” ou “AVK”.</w:t>
      </w:r>
    </w:p>
    <w:p w:rsidR="00EB43ED" w:rsidRPr="00602EEA" w:rsidRDefault="00EB43ED" w:rsidP="008B3E57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As válvulas de cunha a utilizar no estabelecimento ou remodelação das redes de abastecimento de água, com diâmetros nominais entre DN40mm e DN200mm, a menos de indicação em contrário da responsabilidade da fiscalização, e apesar do que esteja eventualmente estabelecido no mapa de quantidades de trabalho, deverão obedecer sempre às características técnicas seguintes: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válvula será </w:t>
      </w:r>
      <w:proofErr w:type="spellStart"/>
      <w:r w:rsidRPr="00602EEA">
        <w:rPr>
          <w:rFonts w:asciiTheme="minorHAnsi" w:hAnsiTheme="minorHAnsi"/>
          <w:sz w:val="22"/>
          <w:szCs w:val="22"/>
        </w:rPr>
        <w:t>sobremoldada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elastómero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pressão máxima de serviço indicada pelo fabricante será no mínimo de 10 Bar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O empanque deverá ser desmontável com a válvula em serviço</w:t>
      </w:r>
      <w:bookmarkStart w:id="7" w:name="_GoBack"/>
      <w:bookmarkEnd w:id="7"/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cunha deverá ter guias independentes das superfícies de estanquidade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passagem deverá ser integral, igual ao diâmetro nominal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Na parte inferior do corpo a válvula terá passagem </w:t>
      </w:r>
      <w:proofErr w:type="spellStart"/>
      <w:r w:rsidRPr="00602EEA">
        <w:rPr>
          <w:rFonts w:asciiTheme="minorHAnsi" w:hAnsiTheme="minorHAnsi"/>
          <w:sz w:val="22"/>
          <w:szCs w:val="22"/>
        </w:rPr>
        <w:t>rectilínea</w:t>
      </w:r>
      <w:proofErr w:type="spellEnd"/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O corpo e a tampa serão em ferro dúctil segundo a norma EN1563, com revestimento </w:t>
      </w:r>
      <w:proofErr w:type="spellStart"/>
      <w:r w:rsidRPr="00602EEA">
        <w:rPr>
          <w:rFonts w:asciiTheme="minorHAnsi" w:hAnsiTheme="minorHAnsi"/>
          <w:sz w:val="22"/>
          <w:szCs w:val="22"/>
        </w:rPr>
        <w:t>epoxy</w:t>
      </w:r>
      <w:proofErr w:type="spellEnd"/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cunha será em ferro dúctil, inteiramente </w:t>
      </w:r>
      <w:proofErr w:type="spellStart"/>
      <w:r w:rsidRPr="00602EEA">
        <w:rPr>
          <w:rFonts w:asciiTheme="minorHAnsi" w:hAnsiTheme="minorHAnsi"/>
          <w:sz w:val="22"/>
          <w:szCs w:val="22"/>
        </w:rPr>
        <w:t>sobremoldado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EPDM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O fuso será em aço inoxidável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porca do fuso poderá ser em latão ou em </w:t>
      </w:r>
      <w:proofErr w:type="spellStart"/>
      <w:r w:rsidRPr="00602EEA">
        <w:rPr>
          <w:rFonts w:asciiTheme="minorHAnsi" w:hAnsiTheme="minorHAnsi"/>
          <w:sz w:val="22"/>
          <w:szCs w:val="22"/>
        </w:rPr>
        <w:t>cupro</w:t>
      </w:r>
      <w:proofErr w:type="spellEnd"/>
      <w:r w:rsidRPr="00602EEA">
        <w:rPr>
          <w:rFonts w:asciiTheme="minorHAnsi" w:hAnsiTheme="minorHAnsi"/>
          <w:sz w:val="22"/>
          <w:szCs w:val="22"/>
        </w:rPr>
        <w:t>-alumínio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8" w:name="_Toc211757076"/>
      <w:r>
        <w:rPr>
          <w:rFonts w:asciiTheme="minorHAnsi" w:hAnsiTheme="minorHAnsi"/>
          <w:b/>
          <w:sz w:val="22"/>
          <w:szCs w:val="22"/>
        </w:rPr>
        <w:t>Cláusula 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8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Ligações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Nas ligações devem sempre utilizar-se acessórios em F.F.D. de acordo com a norma EN1563, revestidos a </w:t>
      </w:r>
      <w:proofErr w:type="spellStart"/>
      <w:r w:rsidRPr="00602EEA">
        <w:rPr>
          <w:rFonts w:asciiTheme="minorHAnsi" w:hAnsiTheme="minorHAnsi"/>
          <w:sz w:val="22"/>
          <w:szCs w:val="22"/>
        </w:rPr>
        <w:t>epoxi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no interior e no exteriormente, com adaptadores de flange do tipo “</w:t>
      </w:r>
      <w:proofErr w:type="spellStart"/>
      <w:r w:rsidRPr="00602EEA">
        <w:rPr>
          <w:rFonts w:asciiTheme="minorHAnsi" w:hAnsiTheme="minorHAnsi"/>
          <w:sz w:val="22"/>
          <w:szCs w:val="22"/>
        </w:rPr>
        <w:t>Quick</w:t>
      </w:r>
      <w:proofErr w:type="spellEnd"/>
      <w:r w:rsidRPr="00602EEA">
        <w:rPr>
          <w:rFonts w:asciiTheme="minorHAnsi" w:hAnsiTheme="minorHAnsi"/>
          <w:sz w:val="22"/>
          <w:szCs w:val="22"/>
        </w:rPr>
        <w:t>” ou juntas de montagem multimaterial.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lastRenderedPageBreak/>
        <w:t>Nas tubagens de PVC rígido com boca o lubrificante a usar deverá ser o recomendado pelo fabricante, sendo proibido o uso de lubrificantes de origem mineral ou outros que provoquem o envelhecimento prematuro do anel de borracha.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Nos nós com mais de uma válvula e de diâmetro &gt;200mm, proceder-se-á ao alojamento dos acessórios em caixa de visita, do tipo das previstas para a drenagem de águas residuais.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9" w:name="_Toc211757077"/>
      <w:r>
        <w:rPr>
          <w:rFonts w:asciiTheme="minorHAnsi" w:hAnsiTheme="minorHAnsi"/>
          <w:b/>
          <w:sz w:val="22"/>
          <w:szCs w:val="22"/>
        </w:rPr>
        <w:t>Cláusula 7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9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Movimentos de terras</w:t>
      </w:r>
    </w:p>
    <w:p w:rsidR="00EB43ED" w:rsidRPr="00602EEA" w:rsidRDefault="00EB43ED" w:rsidP="008B3E57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10" w:name="_Toc211757078"/>
      <w:r w:rsidRPr="00602EEA">
        <w:rPr>
          <w:rFonts w:asciiTheme="minorHAnsi" w:hAnsiTheme="minorHAnsi"/>
          <w:sz w:val="22"/>
          <w:szCs w:val="22"/>
        </w:rPr>
        <w:t xml:space="preserve">Os trabalhos iniciar-se-ão pela implantação dos eixos gerais e dos eixos de cada elemento, assim como das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dimensões quando for o caso, e pela implantação de uma marca de nivelamento, cimentada, que deve ser conservada pelo empreiteiro.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602EEA">
        <w:rPr>
          <w:rFonts w:asciiTheme="minorHAnsi" w:hAnsiTheme="minorHAnsi"/>
          <w:sz w:val="22"/>
          <w:szCs w:val="22"/>
        </w:rPr>
        <w:t xml:space="preserve">ntes da execução de quaisquer trabalhos de terraplanagem ou abertura de valas, o empreiteiro deverá proceder, à sua custa, ao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traçado e piquetagem, após o que a fiscalização verificará se esta operação foi executada de acordo com o </w:t>
      </w:r>
      <w:proofErr w:type="spellStart"/>
      <w:r w:rsidRPr="00602EEA">
        <w:rPr>
          <w:rFonts w:asciiTheme="minorHAnsi" w:hAnsiTheme="minorHAnsi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aprovado.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Para efeito de medição das escavações entende-se que a escolha do processo de desmonte do terreno e sua remoção que vier a ser utilizado ficará ao arbítrio do empreiteiro, ficando no entanto assente que não devem ser postas em risco eventuais </w:t>
      </w:r>
      <w:proofErr w:type="spellStart"/>
      <w:r w:rsidRPr="00602EEA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existentes no subsolo, cujo conhecimento se considera obrigação do empreiteiro, e cujo funcionamento será por este assegurado durante a sua realização dos trabalhos. Eventuais danos provocados nas </w:t>
      </w:r>
      <w:proofErr w:type="spellStart"/>
      <w:r w:rsidRPr="00602EEA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existentes são da absoluta responsabilidade do Empreiteiro.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 menos que esteja previsto nas quantidades de trabalho como tarefa específica, consideram-se englobados nos preços de escavação constantes da proposta do empreiteiro, todos</w:t>
      </w:r>
      <w:r>
        <w:rPr>
          <w:rFonts w:asciiTheme="minorHAnsi" w:hAnsiTheme="minorHAnsi"/>
          <w:sz w:val="22"/>
          <w:szCs w:val="22"/>
        </w:rPr>
        <w:t xml:space="preserve"> </w:t>
      </w:r>
      <w:r w:rsidRPr="00602EEA">
        <w:rPr>
          <w:rFonts w:asciiTheme="minorHAnsi" w:hAnsiTheme="minorHAnsi"/>
          <w:sz w:val="22"/>
          <w:szCs w:val="22"/>
        </w:rPr>
        <w:t>os eventuais encargos acessórios como sejam os referentes a sondagens, escoramentos, entivações, rebaixamento do nível freático, desmatações e manutenção de serventias ou construção de acessos provisórios.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Para efeitos de medição dos trabalhos referentes aos movimentos de terras, deverá considerar-se o seguinte: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O levantamento dos pavimentos não deve ser considerado no(s) artigo(s) das escavações dado considera-se como incluído no(s) artigo(s) de levantamento e reposições de pavimentos, para efeitos de cálculo deve considerar-se o pavimento com espessura de 0.20m.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Na medição das profundidades das valas deverão ser consideradas as previstas no </w:t>
      </w:r>
      <w:proofErr w:type="spellStart"/>
      <w:r w:rsidRPr="00602EEA">
        <w:rPr>
          <w:rFonts w:asciiTheme="minorHAnsi" w:hAnsiTheme="minorHAnsi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ou as realmente executadas quando se observem alterações decorrentes de ordens da Fiscalização.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Na medição das larguras L, deverão considerar-se as realmente executadas, considerando-se as seguintes máximas:</w:t>
      </w:r>
    </w:p>
    <w:p w:rsidR="00EB43ED" w:rsidRPr="00602EEA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Para profundidades inferiores a 2,00 m:</w:t>
      </w:r>
    </w:p>
    <w:p w:rsidR="00EB43ED" w:rsidRPr="00602EEA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L = 0,50 m + diâmetro exterior da tubagem</w:t>
      </w:r>
    </w:p>
    <w:p w:rsidR="00EB43ED" w:rsidRPr="00602EEA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Para profundidades superiores a 2,00 m:</w:t>
      </w:r>
    </w:p>
    <w:p w:rsidR="00EB43ED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L = (0,50 m + diâmetro exterior da tubagem) + n x 0,05, sendo n o número de acréscimos de profundidade além dos 2,00 m e considerando-se com “acréscimo” cada valor de 0,50m.</w:t>
      </w:r>
    </w:p>
    <w:p w:rsidR="00EB43ED" w:rsidRPr="00602EEA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Deve </w:t>
      </w:r>
      <w:proofErr w:type="spellStart"/>
      <w:r w:rsidRPr="00602EEA">
        <w:rPr>
          <w:rFonts w:asciiTheme="minorHAnsi" w:hAnsiTheme="minorHAnsi"/>
          <w:sz w:val="22"/>
          <w:szCs w:val="22"/>
        </w:rPr>
        <w:t>adoptar-se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a seguinte classificação das escavações: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Escavação em terra dura: a que puder ser feita exclusivamente com o braço duma </w:t>
      </w:r>
      <w:proofErr w:type="spellStart"/>
      <w:r w:rsidRPr="00602EEA">
        <w:rPr>
          <w:rFonts w:asciiTheme="minorHAnsi" w:hAnsiTheme="minorHAnsi"/>
          <w:sz w:val="22"/>
          <w:szCs w:val="22"/>
        </w:rPr>
        <w:t>rectroescavadora</w:t>
      </w:r>
      <w:proofErr w:type="spellEnd"/>
      <w:r w:rsidRPr="00602EEA">
        <w:rPr>
          <w:rFonts w:asciiTheme="minorHAnsi" w:hAnsiTheme="minorHAnsi"/>
          <w:sz w:val="22"/>
          <w:szCs w:val="22"/>
        </w:rPr>
        <w:t>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lastRenderedPageBreak/>
        <w:t xml:space="preserve">- Escavação em rocha branda: a que puder ser feita exclusivamente com o braço duma </w:t>
      </w:r>
      <w:proofErr w:type="spellStart"/>
      <w:r w:rsidRPr="00602EEA">
        <w:rPr>
          <w:rFonts w:asciiTheme="minorHAnsi" w:hAnsiTheme="minorHAnsi"/>
          <w:sz w:val="22"/>
          <w:szCs w:val="22"/>
        </w:rPr>
        <w:t>rectroescavadora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 com o auxilio de martelos pneumáticos.</w:t>
      </w:r>
    </w:p>
    <w:p w:rsidR="00EB43ED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Escavação em rocha dura: a que só for possível executar com martelos pneumáticos e recurso explosivos.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Os trabalhos de escavação e aterro serão executados por forma a facilitar o escoamento das águas pluviais e de pequenas infiltrações correndo por conta do empreiteiro as despesas daí provenientes.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O empreiteiro obriga-se a fornecer a vala com os fundos desempenados e os lados sem blocos salientes que prejudiquem a montagem de tubagens.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Quando nas medições e nas quantidades de trabalho for admitido o emprego de terra cirandada na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das canalizações, esta poderá ser obtida a partir dos produtos da escavação, convenientemente cirandada com malha inferior a 1,5 cm.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 tubagens com areia, inclui a execução de uma almofada de assentamento com 0,10 m de espessura, para além da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0,20 m acima do extradorso das tubagens, após compactação. No cálculo do volume de areia para assentamento e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 tubagem, deverá ser descontado o volume correspondente às tubagens e as câmaras de visita.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Os aterros serão </w:t>
      </w:r>
      <w:proofErr w:type="spellStart"/>
      <w:r w:rsidRPr="00602EEA">
        <w:rPr>
          <w:rFonts w:asciiTheme="minorHAnsi" w:hAnsiTheme="minorHAnsi"/>
          <w:sz w:val="22"/>
          <w:szCs w:val="22"/>
        </w:rPr>
        <w:t>efectuados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por camadas de 0,20 m de espessura devidamente compactadas, com produtos provenientes das escavações desde que isentos de matéria vegetal e pedras com dimensões superiores a 0,10 m. O cálculo do volume de aterros deve considerar-se a partir dos volumes de escavações deduzido dos volumes dos pavimentos (0.20 de espessura), dos volumes dos </w:t>
      </w:r>
      <w:proofErr w:type="spellStart"/>
      <w:r w:rsidRPr="00602EEA">
        <w:rPr>
          <w:rFonts w:asciiTheme="minorHAnsi" w:hAnsiTheme="minorHAnsi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, do volume de areia de assentamento, envolvimento,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das tubagens e do volume das caixas de visita.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 compactação das valas deve ser feita por meios mecânicos e deverá ser acompanhada por rega em conformidade.</w:t>
      </w:r>
    </w:p>
    <w:p w:rsidR="00EB43ED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Será da conta do empreiteiro o fornecimento das terras que faltarem e a remoção das sobrantes para local conveniente.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Cláusula 8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0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base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 agregado para a camada de base deve ser constituído por produtos de britagem, e isento de argilas, matéria orgânica ou quaisquer outras substâncias nocivas, devendo a sua curva granulométrica apresentar uma forma regular, dentro dos limites especificados para a composição granulométrica.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O agregado para a camada de base deve apresentar uma percentagem máxima de desgaste de 30% na máquina de Los Angeles (granulometria F), </w:t>
      </w:r>
      <w:proofErr w:type="spellStart"/>
      <w:r w:rsidRPr="00880F9A">
        <w:rPr>
          <w:rFonts w:asciiTheme="minorHAnsi" w:hAnsiTheme="minorHAnsi"/>
          <w:sz w:val="22"/>
          <w:szCs w:val="22"/>
        </w:rPr>
        <w:t>excepto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para os granitos, em que esta percentagem pode ser de 32%.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 material de preenchimento e regularização superficial a aplicar na camada de base será constituído por produtos de britagem ou por saibros, sendo que a percentagem máxima de passados no peneiro nº. 200 ASTM será de 12%.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1" w:name="_Toc211757080"/>
      <w:r>
        <w:rPr>
          <w:rFonts w:asciiTheme="minorHAnsi" w:hAnsiTheme="minorHAnsi"/>
          <w:b/>
          <w:sz w:val="22"/>
          <w:szCs w:val="22"/>
        </w:rPr>
        <w:t>Cláusula 9</w:t>
      </w:r>
      <w:r w:rsidRPr="005C0116">
        <w:rPr>
          <w:rFonts w:asciiTheme="minorHAnsi" w:hAnsiTheme="minorHAnsi"/>
          <w:b/>
          <w:sz w:val="22"/>
          <w:szCs w:val="22"/>
        </w:rPr>
        <w:t>.º</w:t>
      </w:r>
      <w:bookmarkEnd w:id="1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regularização em mistura betuminosa densa</w:t>
      </w: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O </w:t>
      </w:r>
      <w:proofErr w:type="spellStart"/>
      <w:r w:rsidRPr="00880F9A">
        <w:rPr>
          <w:rFonts w:asciiTheme="minorHAnsi" w:hAnsiTheme="minorHAnsi"/>
          <w:sz w:val="22"/>
          <w:szCs w:val="22"/>
        </w:rPr>
        <w:t>filler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para as misturas betuminosas deve ser constituído por pó calcário, cimento Portland, cal hidráulica ou outro material adequado, devendo apresentar-se seco e isento de torrões provenientes de agregação de partículas ou de outras substâncias prejudiciais.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lastRenderedPageBreak/>
        <w:t xml:space="preserve">A granulometria do </w:t>
      </w:r>
      <w:proofErr w:type="spellStart"/>
      <w:r w:rsidRPr="00880F9A">
        <w:rPr>
          <w:rFonts w:asciiTheme="minorHAnsi" w:hAnsiTheme="minorHAnsi"/>
          <w:sz w:val="22"/>
          <w:szCs w:val="22"/>
        </w:rPr>
        <w:t>filler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para as misturas betuminosas deverá ter uma granulometria que satisfaça aos seguintes limites: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95%</w:t>
      </w:r>
    </w:p>
    <w:p w:rsidR="00EB43ED" w:rsidRPr="0022167B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(0.075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65%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880F9A">
        <w:rPr>
          <w:rFonts w:asciiTheme="minorHAnsi" w:hAnsiTheme="minorHAnsi"/>
          <w:sz w:val="22"/>
          <w:szCs w:val="22"/>
        </w:rPr>
        <w:t xml:space="preserve">s agregados grosso e fino para as misturas betuminosas devem ser provenientes da exploração de formações homogéneas, e as partículas devem ser limpas, duras, pouco alteráveis sob a </w:t>
      </w:r>
      <w:proofErr w:type="spellStart"/>
      <w:r w:rsidRPr="00880F9A">
        <w:rPr>
          <w:rFonts w:asciiTheme="minorHAnsi" w:hAnsiTheme="minorHAnsi"/>
          <w:sz w:val="22"/>
          <w:szCs w:val="22"/>
        </w:rPr>
        <w:t>acção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dos agentes climatéricos, com aceitável adesividade ao ligante, de qualidade uniforme e devem estar isentas de materiais decompostos, de matéria orgânica ou de outras substâncias prejudiciais.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A mistura de agregados para a camada de regularização betuminosa deverá ter uma granulometria do tipo 0/20mm, e estar de acordo com os seguintes valores: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(25.0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(19.0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85% a 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(12.5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73% a 87%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(4.75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45% a 60%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32% a 46%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16% a 27%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5% a 10%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A mistura de agregados para a camada de regularização betuminosa deverá apresentar uma percentagem de desgaste na máquina de Los Angeles para a granulometria B inferior a 30%, </w:t>
      </w:r>
      <w:proofErr w:type="spellStart"/>
      <w:r w:rsidRPr="00880F9A">
        <w:rPr>
          <w:rFonts w:asciiTheme="minorHAnsi" w:hAnsiTheme="minorHAnsi"/>
          <w:sz w:val="22"/>
          <w:szCs w:val="22"/>
        </w:rPr>
        <w:t>excepto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no caso dos granitos, em que este valor pode ser fixado em 35%.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Os resultados dos ensaios sobre a mistura de agregados para a camada de regularização betuminosa, conduzidos pelo método de Marshall, devem estar de acordo com os valores seguintes: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número de pancada</w:t>
      </w:r>
      <w:r>
        <w:rPr>
          <w:rFonts w:asciiTheme="minorHAnsi" w:hAnsiTheme="minorHAnsi"/>
          <w:sz w:val="22"/>
          <w:szCs w:val="22"/>
        </w:rPr>
        <w:t xml:space="preserve">s em cada extremo do provete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>50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força de rotura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600 Kg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grau de saturação em betume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75% a 85%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porosidade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3% a 6%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deformação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&lt; 3.5 mm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relação entre a força de rotura e a deformação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200 Kg / mm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2" w:name="_Toc211757081"/>
      <w:r w:rsidRPr="005C0116">
        <w:rPr>
          <w:rFonts w:asciiTheme="minorHAnsi" w:hAnsiTheme="minorHAnsi"/>
          <w:b/>
          <w:sz w:val="22"/>
          <w:szCs w:val="22"/>
        </w:rPr>
        <w:t>Cláusula 10.ª</w:t>
      </w:r>
      <w:bookmarkEnd w:id="1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desgaste em betão betuminoso</w:t>
      </w:r>
    </w:p>
    <w:p w:rsidR="00EB43ED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A mistura de agregados para a camada de desgaste em betão betuminoso deve ter uma granulometria do tipo 0/14 mm, obedecendo aos seguintes limites: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(16.0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(12.5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80% a 95%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(9.50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70% a 90%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(4.75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50% a 70%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32% a 46%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16% a 27%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9% a 18%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lastRenderedPageBreak/>
        <w:t xml:space="preserve">(0.075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6% a 10%</w:t>
      </w:r>
    </w:p>
    <w:p w:rsidR="00EB43ED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6D7C53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 mistura de agregados para a camada de desgaste em betão betuminoso deve ter uma percentagem de material britado superior a 90%, sendo o seu equivalente de areia superior a 60%, sem a adição de </w:t>
      </w:r>
      <w:proofErr w:type="spellStart"/>
      <w:r w:rsidRPr="006D7C53">
        <w:rPr>
          <w:rFonts w:asciiTheme="minorHAnsi" w:hAnsiTheme="minorHAnsi"/>
          <w:sz w:val="22"/>
          <w:szCs w:val="22"/>
        </w:rPr>
        <w:t>filler</w:t>
      </w:r>
      <w:proofErr w:type="spellEnd"/>
      <w:r w:rsidRPr="006D7C53">
        <w:rPr>
          <w:rFonts w:asciiTheme="minorHAnsi" w:hAnsiTheme="minorHAnsi"/>
          <w:sz w:val="22"/>
          <w:szCs w:val="22"/>
        </w:rPr>
        <w:t>.</w:t>
      </w:r>
    </w:p>
    <w:p w:rsidR="00EB43ED" w:rsidRPr="006D7C53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 mistura de agregados para a camada de desgaste em betão betuminoso deve apresentar uma percentagem de desgaste na máquina de Los Angeles para a granulometria B inferior a 20%, </w:t>
      </w:r>
      <w:proofErr w:type="spellStart"/>
      <w:r w:rsidRPr="006D7C53">
        <w:rPr>
          <w:rFonts w:asciiTheme="minorHAnsi" w:hAnsiTheme="minorHAnsi"/>
          <w:sz w:val="22"/>
          <w:szCs w:val="22"/>
        </w:rPr>
        <w:t>excepto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no caso dos granitos, em que este valor pode ser fixado em 30%.</w:t>
      </w:r>
    </w:p>
    <w:p w:rsidR="00EB43ED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Os resultados dos ensaios sobre a mistura betuminosa para a camada de desgaste, conduzidos pelo método de Marshall, devem estar de acordo com os valores seguintes: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número de pancadas em cada extremo do provete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50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força de rotura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&gt; 700 Kg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grau de saturação em betume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72% a 82%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porosidade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4% a 6%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deformação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&lt; 3.5 mm</w:t>
      </w:r>
    </w:p>
    <w:p w:rsidR="00EB43ED" w:rsidRPr="0022167B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relação entre a força de rotura e a deformação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&gt;250 Kg/mm</w:t>
      </w:r>
    </w:p>
    <w:p w:rsidR="00EB43ED" w:rsidRPr="0022167B" w:rsidRDefault="00EB43ED" w:rsidP="008B3E57">
      <w:pPr>
        <w:tabs>
          <w:tab w:val="left" w:pos="4370"/>
        </w:tabs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  <w:bookmarkStart w:id="13" w:name="_Toc211757082"/>
      <w:r>
        <w:rPr>
          <w:rFonts w:asciiTheme="minorHAnsi" w:hAnsiTheme="minorHAnsi"/>
          <w:sz w:val="22"/>
          <w:szCs w:val="22"/>
        </w:rPr>
        <w:tab/>
      </w: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</w:t>
      </w:r>
      <w:r>
        <w:rPr>
          <w:rFonts w:asciiTheme="minorHAnsi" w:hAnsiTheme="minorHAnsi"/>
          <w:b/>
          <w:sz w:val="22"/>
          <w:szCs w:val="22"/>
        </w:rPr>
        <w:t>la 11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Betumes e emulsões betuminosas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Na camada de desgaste em betão betuminoso e na camada de regularização em mistura betuminosa densa, deverá ser empregue um betume asfáltico 60/70.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Sempre que o empreiteiro julgue conveniente incorporar aditivos especiais às misturas betuminosas, para melhorar a adesividade betume-agregados, deverá submeter à apreciação da fiscalização as características técnicas e o modo de utilização desses aditivos.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 betume fluidificado a usar nas impregnações deve ser do tipo MC-70, e obedecer às especificações A.S.T.M. D2027-72 e L.N.E.C. E 80-1960.</w:t>
      </w:r>
    </w:p>
    <w:p w:rsidR="00EB43ED" w:rsidRPr="00166F68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 emulsão betuminosa a empregar em regas de colagem deverá ser do tipo ECR-1 ou ECR-2, e obedecer ao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de especificação L.N.E.C. E 344-1981</w:t>
      </w:r>
      <w:r w:rsidRPr="00166F68">
        <w:rPr>
          <w:rFonts w:asciiTheme="minorHAnsi" w:hAnsiTheme="minorHAnsi"/>
          <w:sz w:val="22"/>
          <w:szCs w:val="22"/>
        </w:rPr>
        <w:t>.</w:t>
      </w:r>
    </w:p>
    <w:p w:rsidR="00EB43ED" w:rsidRPr="00166F68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4" w:name="_Toc211757083"/>
      <w:r w:rsidRPr="005C0116">
        <w:rPr>
          <w:rFonts w:asciiTheme="minorHAnsi" w:hAnsiTheme="minorHAnsi"/>
          <w:b/>
          <w:sz w:val="22"/>
          <w:szCs w:val="22"/>
        </w:rPr>
        <w:t>Cláusula 12.ª</w:t>
      </w:r>
      <w:bookmarkEnd w:id="14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Critérios de medição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Nas empreitadas, no cálculo das áreas de levantamento e reposição de pavimentos, serão consideradas as áreas realmente executadas até ao limite máximo de 0.40m além das larguras totais definidas em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para as valas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5" w:name="_Toc211757085"/>
      <w:r>
        <w:rPr>
          <w:rFonts w:asciiTheme="minorHAnsi" w:hAnsiTheme="minorHAnsi"/>
          <w:b/>
          <w:sz w:val="22"/>
          <w:szCs w:val="22"/>
        </w:rPr>
        <w:t>Cláusula 13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5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Betão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Os ensaios de </w:t>
      </w:r>
      <w:proofErr w:type="spellStart"/>
      <w:r w:rsidRPr="006D7C53">
        <w:rPr>
          <w:rFonts w:asciiTheme="minorHAnsi" w:hAnsiTheme="minorHAnsi"/>
          <w:sz w:val="22"/>
          <w:szCs w:val="22"/>
        </w:rPr>
        <w:t>recepção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do betão, previstos no Regulamento de Estruturas de Betão Armado e Pré-Esforçado, aprovado pelo Decreto-Lei nº 349-C/83, de 30 de Julho, constituem encargo do adjudicatário.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 betão a empregar na obra terá as seguintes composições mínimas expressas em Kg de cimento por metro cúbico de betão: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Betão em fundações 300 Kg/m3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Betão em pavimentos e caleiras 300 Kg/m3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Elementos de betão armado 400 Kg/m3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lastRenderedPageBreak/>
        <w:t xml:space="preserve">O betão será utilizado imediatamente após a sua </w:t>
      </w:r>
      <w:proofErr w:type="spellStart"/>
      <w:r w:rsidRPr="006D7C53">
        <w:rPr>
          <w:rFonts w:asciiTheme="minorHAnsi" w:hAnsiTheme="minorHAnsi"/>
          <w:sz w:val="22"/>
          <w:szCs w:val="22"/>
        </w:rPr>
        <w:t>confecção</w:t>
      </w:r>
      <w:proofErr w:type="spellEnd"/>
      <w:r w:rsidRPr="006D7C53">
        <w:rPr>
          <w:rFonts w:asciiTheme="minorHAnsi" w:hAnsiTheme="minorHAnsi"/>
          <w:sz w:val="22"/>
          <w:szCs w:val="22"/>
        </w:rPr>
        <w:t>, e antes que tenha começado a endurecer, devendo ser removido para fora do recinto das obras todo o que tiver começado a presa antes de ser aplicado.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Durante o endurecimento, o betão deverá ser protegido contra a secagem prematura regando-o frequentemente.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As betonagens só poderão ser iniciadas depois da </w:t>
      </w:r>
      <w:proofErr w:type="spellStart"/>
      <w:r w:rsidRPr="006D7C53">
        <w:rPr>
          <w:rFonts w:asciiTheme="minorHAnsi" w:hAnsiTheme="minorHAnsi"/>
          <w:sz w:val="22"/>
          <w:szCs w:val="22"/>
        </w:rPr>
        <w:t>inspecção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dos moldes e da verificação das armaduras pela fiscalização.</w:t>
      </w:r>
    </w:p>
    <w:p w:rsidR="00EB43ED" w:rsidRPr="003D3B10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Qualquer alteração proposta pelo empreiteiro só poderá ser aceite pela fiscalização se tiver sido devidamente calculada para as solicitações consideradas no cálculo do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e acompanhada de Termo de Responsa</w:t>
      </w:r>
      <w:r>
        <w:rPr>
          <w:rFonts w:asciiTheme="minorHAnsi" w:hAnsiTheme="minorHAnsi"/>
          <w:sz w:val="22"/>
          <w:szCs w:val="22"/>
        </w:rPr>
        <w:t>bilidade por Técnico competente</w:t>
      </w:r>
      <w:r w:rsidRPr="003D3B10">
        <w:rPr>
          <w:rFonts w:asciiTheme="minorHAnsi" w:hAnsiTheme="minorHAnsi"/>
          <w:sz w:val="22"/>
          <w:szCs w:val="22"/>
        </w:rPr>
        <w:t>.</w:t>
      </w:r>
    </w:p>
    <w:p w:rsidR="00EB43ED" w:rsidRPr="003D3B10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6" w:name="_Toc211757086"/>
      <w:r>
        <w:rPr>
          <w:rFonts w:asciiTheme="minorHAnsi" w:hAnsiTheme="minorHAnsi"/>
          <w:b/>
          <w:sz w:val="22"/>
          <w:szCs w:val="22"/>
        </w:rPr>
        <w:t>Cláusula 14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6"/>
    </w:p>
    <w:p w:rsidR="00EB43ED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Betão armado</w:t>
      </w:r>
    </w:p>
    <w:p w:rsidR="00EB43ED" w:rsidRPr="00A338D0" w:rsidRDefault="00EB43ED" w:rsidP="008B3E57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338D0">
        <w:rPr>
          <w:rFonts w:asciiTheme="minorHAnsi" w:hAnsiTheme="minorHAnsi"/>
          <w:sz w:val="22"/>
          <w:szCs w:val="22"/>
        </w:rPr>
        <w:t>Em tudo o que disser respeito à execução de peças de betão armado, aplicar-se-ão as disposições do Regulamento de Estruturas de Betão Armado e Pré-Esforçado em vigor, aprovado pelo Decreto-Lei nº 349-C/83, de 30 de Julho. Encontram-se incluídos no preço deste artigo todos os trabalhos e fornecimentos necessários à sua boa execução e aplicação, salientando-se os seguintes: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 xml:space="preserve">- fornecimento e execução dos moldes, incluindo escoramentos, cofragem e </w:t>
      </w:r>
      <w:proofErr w:type="spellStart"/>
      <w:r w:rsidRPr="007F4C16">
        <w:rPr>
          <w:rFonts w:asciiTheme="minorHAnsi" w:hAnsiTheme="minorHAnsi"/>
          <w:sz w:val="22"/>
          <w:szCs w:val="22"/>
        </w:rPr>
        <w:t>descofragem</w:t>
      </w:r>
      <w:proofErr w:type="spellEnd"/>
      <w:r w:rsidRPr="007F4C16">
        <w:rPr>
          <w:rFonts w:asciiTheme="minorHAnsi" w:hAnsiTheme="minorHAnsi"/>
          <w:sz w:val="22"/>
          <w:szCs w:val="22"/>
        </w:rPr>
        <w:t>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fornecimento de betão e colocação em obra;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fornecimento, execução e colocação em obra das armaduras;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ancoragens ou dispositivos semelhantes a embeber no betão;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todos os trabalhos acessórios necessários;</w:t>
      </w:r>
    </w:p>
    <w:p w:rsidR="00EB43ED" w:rsidRDefault="00EB43ED" w:rsidP="008B3E57">
      <w:pPr>
        <w:spacing w:before="120"/>
        <w:ind w:left="426" w:hanging="142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ensaios de controlo do betão e das armaduras, que serão realizados conforme plano a definir pela fiscalização, em laboratório oficial.</w:t>
      </w:r>
    </w:p>
    <w:p w:rsidR="00EB43ED" w:rsidRDefault="00EB43ED" w:rsidP="008B3E57">
      <w:pPr>
        <w:spacing w:before="120"/>
        <w:ind w:left="426" w:hanging="142"/>
        <w:jc w:val="both"/>
        <w:rPr>
          <w:rFonts w:asciiTheme="minorHAnsi" w:hAnsiTheme="minorHAnsi"/>
          <w:sz w:val="22"/>
          <w:szCs w:val="22"/>
        </w:rPr>
      </w:pPr>
    </w:p>
    <w:p w:rsidR="00EB43ED" w:rsidRDefault="00EB43ED" w:rsidP="008B3E57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Todo o betã</w:t>
      </w:r>
      <w:r>
        <w:rPr>
          <w:rFonts w:asciiTheme="minorHAnsi" w:hAnsiTheme="minorHAnsi"/>
          <w:sz w:val="22"/>
          <w:szCs w:val="22"/>
        </w:rPr>
        <w:t xml:space="preserve">o </w:t>
      </w:r>
      <w:r w:rsidRPr="00B70000">
        <w:rPr>
          <w:rFonts w:asciiTheme="minorHAnsi" w:hAnsiTheme="minorHAnsi"/>
          <w:sz w:val="22"/>
          <w:szCs w:val="22"/>
        </w:rPr>
        <w:t>a empregar em elementos de betão armado será vibrado mecanicamente.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7" w:name="_Toc211757087"/>
      <w:r w:rsidRPr="005C0116">
        <w:rPr>
          <w:rFonts w:asciiTheme="minorHAnsi" w:hAnsiTheme="minorHAnsi"/>
          <w:b/>
          <w:sz w:val="22"/>
          <w:szCs w:val="22"/>
        </w:rPr>
        <w:t>Cláusula 15.ª</w:t>
      </w:r>
      <w:bookmarkEnd w:id="17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Moldes e cimbres</w:t>
      </w:r>
    </w:p>
    <w:p w:rsidR="00EB43ED" w:rsidRPr="00B70000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moldes e cimbres bem como os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70000">
        <w:rPr>
          <w:rFonts w:asciiTheme="minorHAnsi" w:hAnsiTheme="minorHAnsi"/>
          <w:sz w:val="22"/>
          <w:szCs w:val="22"/>
        </w:rPr>
        <w:t>contraventamentos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escoramentos deverão satisfazer o preceituado no REBAP. Os moldes deverão ser executados de modo que se obtenham superfícies lisas e bem desempenadas, correspondendo o mais aproximadamente possível aos desenhos do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. Serão convenientemente limpos e abundantemente molhados antes da betonagem, e deverão ser facilmente desmontáveis, devendo os dispositivos </w:t>
      </w:r>
      <w:proofErr w:type="spellStart"/>
      <w:r w:rsidRPr="00B70000">
        <w:rPr>
          <w:rFonts w:asciiTheme="minorHAnsi" w:hAnsiTheme="minorHAnsi"/>
          <w:sz w:val="22"/>
          <w:szCs w:val="22"/>
        </w:rPr>
        <w:t>adoptados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garantir a sua indeformabilidade.</w:t>
      </w:r>
    </w:p>
    <w:p w:rsidR="00EB43ED" w:rsidRPr="00166F68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8" w:name="_Toc211757088"/>
      <w:r>
        <w:rPr>
          <w:rFonts w:asciiTheme="minorHAnsi" w:hAnsiTheme="minorHAnsi"/>
          <w:b/>
          <w:sz w:val="22"/>
          <w:szCs w:val="22"/>
        </w:rPr>
        <w:t>Cláusula 16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8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Betão ciclópico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Em betão ciclópico será utilizada pedra resistente à </w:t>
      </w:r>
      <w:proofErr w:type="spellStart"/>
      <w:r w:rsidRPr="00B70000">
        <w:rPr>
          <w:rFonts w:asciiTheme="minorHAnsi" w:hAnsiTheme="minorHAnsi"/>
          <w:sz w:val="22"/>
          <w:szCs w:val="22"/>
        </w:rPr>
        <w:t>ruptura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ao esmagamento, sã e uniforme, sem fendas, limpa de terras e quaisquer impurezas, não alterável sob </w:t>
      </w:r>
      <w:proofErr w:type="spellStart"/>
      <w:r w:rsidRPr="00B70000">
        <w:rPr>
          <w:rFonts w:asciiTheme="minorHAnsi" w:hAnsiTheme="minorHAnsi"/>
          <w:sz w:val="22"/>
          <w:szCs w:val="22"/>
        </w:rPr>
        <w:t>acção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dos agentes atmosféricos, e com dimensão máxima de 0.25 m. O betão ciclópico terá o traço 1:3:5, com a composição mínima de 250 Kg de cimento por m3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9" w:name="_Toc211757089"/>
      <w:r w:rsidRPr="005C0116">
        <w:rPr>
          <w:rFonts w:asciiTheme="minorHAnsi" w:hAnsiTheme="minorHAnsi"/>
          <w:b/>
          <w:sz w:val="22"/>
          <w:szCs w:val="22"/>
        </w:rPr>
        <w:t>Cláusula 17.ª</w:t>
      </w:r>
      <w:bookmarkEnd w:id="19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Betão de limpeza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Será betão simples, com a dosagem de 200 Kg de cimento, 400 litros de areia e 800 litros de gravilha 1/1,5 cm, com as espessuras indicadas em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>. Deverá ser executado com o mínimo de um dia de antecedência à colocação das armaduras que lhe irão ser sobrepostas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0" w:name="_Toc211757090"/>
      <w:r w:rsidRPr="005C0116">
        <w:rPr>
          <w:rFonts w:asciiTheme="minorHAnsi" w:hAnsiTheme="minorHAnsi"/>
          <w:b/>
          <w:sz w:val="22"/>
          <w:szCs w:val="22"/>
        </w:rPr>
        <w:t>Cláusula 18.ª</w:t>
      </w:r>
      <w:bookmarkEnd w:id="20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Armaduras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aço em varão para o betão armado, será macio, de textura homogénea e de grão fino, não quebradiço e isento de zincagem, pintura, alcatroamento, óleos ou ferrugem solta. Deverá apresentar todas as características de resistência exigidas pelo Regulamento de Estruturas de Betão Armado e Pré-Esforçado em vigor, aprovado pelo Decreto-Lei nº 349-C/83, de 30 de Julho.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armaduras de aço para betão armado, deverão ter as secções e dimensões indicadas no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serão colocadas </w:t>
      </w:r>
      <w:proofErr w:type="spellStart"/>
      <w:r w:rsidRPr="00B70000">
        <w:rPr>
          <w:rFonts w:asciiTheme="minorHAnsi" w:hAnsiTheme="minorHAnsi"/>
          <w:sz w:val="22"/>
          <w:szCs w:val="22"/>
        </w:rPr>
        <w:t>exactamente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como se encontra indicado nas peças desenhadas</w:t>
      </w:r>
    </w:p>
    <w:p w:rsidR="00EB43ED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armaduras que se cruzem e os estribos deverão ser sempre ligados com arame de ferro queimado, não zincado e isento de ferrugem. Os acrescentes ou emendas serão, tanto quanto possível, desencontrados </w:t>
      </w:r>
      <w:proofErr w:type="spellStart"/>
      <w:r w:rsidRPr="00B70000">
        <w:rPr>
          <w:rFonts w:asciiTheme="minorHAnsi" w:hAnsiTheme="minorHAnsi"/>
          <w:sz w:val="22"/>
          <w:szCs w:val="22"/>
        </w:rPr>
        <w:t>efectuando-se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nos pontos menos perigosos para a resistência, os quais são previamente indicados pela Fiscalização.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Os ganchos ou colchetes devem ser voltados por forma tal que fiquem com um intervalo de cinco vezes o diâmetro, e que a parte voltada tenha um comprimento aproximadamente igual a duas vezes e meia o diâmetro.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1" w:name="_Toc211757091"/>
      <w:r>
        <w:rPr>
          <w:rFonts w:asciiTheme="minorHAnsi" w:hAnsiTheme="minorHAnsi"/>
          <w:b/>
          <w:sz w:val="22"/>
          <w:szCs w:val="22"/>
        </w:rPr>
        <w:t>Cláusula 19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Cimento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cimento será do tipo "Portland", de fabrico nacional e deverá satisfazer ao Caderno de Encargos para o fornecimento de cimento "Portland" normal, conforme legislação em vigor.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cimento será fornecido em sacos bem fechados com a marca da Fábrica indicada e guardado em armazém não sujeito a humidade.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fiscalização tem o direito de visitar e </w:t>
      </w:r>
      <w:proofErr w:type="spellStart"/>
      <w:r w:rsidRPr="00B70000">
        <w:rPr>
          <w:rFonts w:asciiTheme="minorHAnsi" w:hAnsiTheme="minorHAnsi"/>
          <w:sz w:val="22"/>
          <w:szCs w:val="22"/>
        </w:rPr>
        <w:t>inspeccionar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o armazém em que se guarda o cimento, e de recolher amostras para experiências e ensaios sempre que o julgar necessário.</w:t>
      </w:r>
    </w:p>
    <w:p w:rsidR="00EB43ED" w:rsidRPr="0022167B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Quaisquer produtos de adição para aceleração de presa, maior plasticidade, ou outro fim, só poderão ser aplicados com a aprovação da fiscalização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2" w:name="_Toc211757092"/>
      <w:r>
        <w:rPr>
          <w:rFonts w:asciiTheme="minorHAnsi" w:hAnsiTheme="minorHAnsi"/>
          <w:b/>
          <w:sz w:val="22"/>
          <w:szCs w:val="22"/>
        </w:rPr>
        <w:t>Cláusula 20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2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Areia</w:t>
      </w:r>
    </w:p>
    <w:p w:rsidR="00EB43ED" w:rsidRPr="00B70000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areia a empregar nas argamassas será siliciosa pura, de grãos secos e angulosos, áspera ao </w:t>
      </w:r>
      <w:proofErr w:type="spellStart"/>
      <w:r w:rsidRPr="00B70000">
        <w:rPr>
          <w:rFonts w:asciiTheme="minorHAnsi" w:hAnsiTheme="minorHAnsi"/>
          <w:sz w:val="22"/>
          <w:szCs w:val="22"/>
        </w:rPr>
        <w:t>tacto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isenta de matérias orgânicas, argilosas ou calcárias, devendo ser lavada e peneirada se tal for necessário, ou assim for entendido pela fiscalização.</w:t>
      </w:r>
    </w:p>
    <w:p w:rsidR="00EB43ED" w:rsidRPr="00B70000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Se a fiscalização o julgar conveniente, o empreiteiro obriga-se a submeter a areia a aplicar no betão armado a ensaios granulométricos. Estes ensaios serão da conta do empreiteiro.</w:t>
      </w:r>
    </w:p>
    <w:p w:rsidR="00EB43ED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Para as argamassas a empregar em alvenaria de tijolo, em rebocos ou guarnecimentos e no assentamento de cantarias, deve utilizar-se areia de grão fino</w:t>
      </w:r>
      <w:r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  <w:bookmarkStart w:id="23" w:name="_Toc211757093"/>
    </w:p>
    <w:p w:rsidR="008B3E57" w:rsidRDefault="008B3E57" w:rsidP="008B3E57">
      <w:pPr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Cláusula 21.ª</w:t>
      </w:r>
      <w:bookmarkEnd w:id="2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Água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água a empregar na amassadura de argamassas e betões deve ser limpa, isenta de substâncias orgânicas, sais deliquescentes, óleos ácidos ou outras impurezas. Especificamente para o betão, não deverá conter cloretos ou sulfatos em percentagens julgadas prejudiciais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4" w:name="_Toc211757095"/>
      <w:r w:rsidRPr="005C0116">
        <w:rPr>
          <w:rFonts w:asciiTheme="minorHAnsi" w:hAnsiTheme="minorHAnsi"/>
          <w:b/>
          <w:sz w:val="22"/>
          <w:szCs w:val="22"/>
        </w:rPr>
        <w:t>Cláusula 22.ª</w:t>
      </w:r>
      <w:bookmarkEnd w:id="24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Argamassas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composição em cimento e areia das argamassas a empregar em alvenarias será ao traço 1 para 4, em volume.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As argamassas a empregar em rebocos terão as seguintes composições de cimento por cada metro cúbico de argamassa.</w:t>
      </w:r>
    </w:p>
    <w:p w:rsidR="00EB43ED" w:rsidRDefault="00EB43ED" w:rsidP="008B3E57">
      <w:pPr>
        <w:numPr>
          <w:ilvl w:val="1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Reboco de paredes e </w:t>
      </w:r>
      <w:proofErr w:type="spellStart"/>
      <w:r w:rsidRPr="00B70000">
        <w:rPr>
          <w:rFonts w:asciiTheme="minorHAnsi" w:hAnsiTheme="minorHAnsi"/>
          <w:sz w:val="22"/>
          <w:szCs w:val="22"/>
        </w:rPr>
        <w:t>tectos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300 Kg</w:t>
      </w:r>
    </w:p>
    <w:p w:rsidR="00EB43ED" w:rsidRPr="00B70000" w:rsidRDefault="00EB43ED" w:rsidP="008B3E57">
      <w:pPr>
        <w:numPr>
          <w:ilvl w:val="1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Reboco de superfícies em contacto com a água 500 Kg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Antes de se proceder ao reboco, as superfícies a rebocar serão limpas, tirando-se-lhe toda a argamassa que esteja desagregada ou pouco aderente, e serão lavadas com água. Depois, e ainda com as superfícies bem molhadas, dar-se-á uma ensaibrada com argamassa de dosagem rica, que se deixará secar. Só então se procederá ao reboco que será desempenado à colher nas superfícies exteriores, passando-se previamente as necessárias mestras para que as superfícies rebocadas fiquem desempenadas e uniformes. O reboco após ultimado deverá formar uma camada de </w:t>
      </w:r>
      <w:proofErr w:type="spellStart"/>
      <w:r w:rsidRPr="00B70000">
        <w:rPr>
          <w:rFonts w:asciiTheme="minorHAnsi" w:hAnsiTheme="minorHAnsi"/>
          <w:sz w:val="22"/>
          <w:szCs w:val="22"/>
        </w:rPr>
        <w:t>aspecto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uniforme, homogéneo, de superfície regular, sem fendas nem porções deslocadas.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aditivos para argamassas deverão ser previamente submetidos à aprovação da fiscalização, e aplicados em conformidade com as instruções do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fabricante e os resultados de ensaios feitos.</w:t>
      </w:r>
    </w:p>
    <w:p w:rsidR="00EB43ED" w:rsidRPr="0022167B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Os rebocos hidrófugos só se deverão executar depois de estarem bem secos o</w:t>
      </w:r>
      <w:r>
        <w:rPr>
          <w:rFonts w:asciiTheme="minorHAnsi" w:hAnsiTheme="minorHAnsi"/>
          <w:sz w:val="22"/>
          <w:szCs w:val="22"/>
        </w:rPr>
        <w:t>s paramentos que os vão receber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5" w:name="_Toc211757096"/>
      <w:r w:rsidRPr="005C0116">
        <w:rPr>
          <w:rFonts w:asciiTheme="minorHAnsi" w:hAnsiTheme="minorHAnsi"/>
          <w:b/>
          <w:sz w:val="22"/>
          <w:szCs w:val="22"/>
        </w:rPr>
        <w:t>Cláusula 23.º</w:t>
      </w:r>
      <w:bookmarkEnd w:id="25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Brita</w:t>
      </w:r>
    </w:p>
    <w:p w:rsidR="00EB43ED" w:rsidRPr="0022167B" w:rsidRDefault="00EB43ED" w:rsidP="008B3E57">
      <w:pPr>
        <w:pStyle w:val="Corpodetexto2"/>
        <w:spacing w:before="120" w:line="240" w:lineRule="auto"/>
        <w:jc w:val="both"/>
        <w:rPr>
          <w:rFonts w:asciiTheme="minorHAnsi" w:hAnsiTheme="minorHAnsi"/>
          <w:sz w:val="22"/>
        </w:rPr>
      </w:pPr>
      <w:r w:rsidRPr="00B70000">
        <w:rPr>
          <w:rFonts w:asciiTheme="minorHAnsi" w:hAnsiTheme="minorHAnsi"/>
          <w:sz w:val="22"/>
        </w:rPr>
        <w:t>A brita a utilizar no fabrico de betões deve proporcionar-lhes as qualidades necessárias - resistência, durabilidade, impermeabilidade e peso específico. A brita deve ser isenta de impurezas superficiais que a isolem do contacto com a pasta de cimento. Devem ser observadas as normas e regulamentos em vigor</w:t>
      </w:r>
      <w:r w:rsidRPr="0022167B">
        <w:rPr>
          <w:rFonts w:asciiTheme="minorHAnsi" w:hAnsiTheme="minorHAnsi"/>
          <w:sz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6" w:name="_Toc211757097"/>
      <w:r w:rsidRPr="005C0116">
        <w:rPr>
          <w:rFonts w:asciiTheme="minorHAnsi" w:hAnsiTheme="minorHAnsi"/>
          <w:b/>
          <w:sz w:val="22"/>
          <w:szCs w:val="22"/>
        </w:rPr>
        <w:t>Cláusula 24.ª</w:t>
      </w:r>
      <w:bookmarkEnd w:id="2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Enrocamentos</w:t>
      </w:r>
    </w:p>
    <w:p w:rsidR="00EB43ED" w:rsidRPr="0022167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enrocamentos serão constituídos por camada de brita 0,02/0,05m, arrumada mecanicamente ou à mão, com as espessuras indicadas no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7" w:name="_Toc211757099"/>
      <w:bookmarkStart w:id="28" w:name="_Toc36544902"/>
      <w:r w:rsidRPr="005C0116">
        <w:rPr>
          <w:rFonts w:asciiTheme="minorHAnsi" w:hAnsiTheme="minorHAnsi"/>
          <w:b/>
          <w:sz w:val="22"/>
          <w:szCs w:val="22"/>
        </w:rPr>
        <w:t>Cláusula 25.ª</w:t>
      </w:r>
      <w:bookmarkEnd w:id="2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Serralharia</w:t>
      </w:r>
      <w:r w:rsidRPr="005C0116">
        <w:rPr>
          <w:rFonts w:asciiTheme="minorHAnsi" w:hAnsiTheme="minorHAnsi"/>
          <w:b/>
          <w:sz w:val="22"/>
          <w:szCs w:val="22"/>
        </w:rPr>
        <w:t>s</w:t>
      </w:r>
      <w:bookmarkEnd w:id="28"/>
    </w:p>
    <w:p w:rsidR="00EB43ED" w:rsidRPr="00B70000" w:rsidRDefault="00EB43ED" w:rsidP="008B3E5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lastRenderedPageBreak/>
        <w:t>As serralharias deverão ser sempre protegidas com metalização. A pintura deverá ser feita com tinta de qualidade e de marca aceite pela fiscalização</w:t>
      </w:r>
    </w:p>
    <w:p w:rsidR="00EB43ED" w:rsidRPr="00B70000" w:rsidRDefault="00EB43ED" w:rsidP="008B3E5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As fechaduras e cadeados a empregar na obra, terão chave universal a definir pela Fiscalização</w:t>
      </w:r>
      <w:r w:rsidRPr="0022167B">
        <w:rPr>
          <w:rFonts w:asciiTheme="minorHAnsi" w:hAnsiTheme="minorHAnsi"/>
          <w:sz w:val="22"/>
          <w:szCs w:val="22"/>
        </w:rPr>
        <w:t>.</w:t>
      </w:r>
      <w:r w:rsidRPr="00B70000">
        <w:rPr>
          <w:rFonts w:asciiTheme="minorHAnsi" w:hAnsiTheme="minorHAnsi"/>
          <w:sz w:val="22"/>
          <w:szCs w:val="22"/>
        </w:rPr>
        <w:t xml:space="preserve">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9" w:name="_Toc211757100"/>
      <w:r>
        <w:rPr>
          <w:rFonts w:asciiTheme="minorHAnsi" w:hAnsiTheme="minorHAnsi"/>
          <w:b/>
          <w:sz w:val="22"/>
          <w:szCs w:val="22"/>
        </w:rPr>
        <w:t>Cláusula 26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9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Madeira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madeira a empregar na execução dos trabalhos que compõem a empreitada deverá ter fibras unidas, bem cerneiras, sem nós viciosos, e será isenta de caruncho e detritos, e sem fendas que comprometam a sua resistência. Para facilidade de </w:t>
      </w:r>
      <w:proofErr w:type="spellStart"/>
      <w:r w:rsidRPr="00B70000">
        <w:rPr>
          <w:rFonts w:asciiTheme="minorHAnsi" w:hAnsiTheme="minorHAnsi"/>
          <w:sz w:val="22"/>
          <w:szCs w:val="22"/>
        </w:rPr>
        <w:t>descofragem</w:t>
      </w:r>
      <w:proofErr w:type="spellEnd"/>
      <w:r w:rsidRPr="00B70000">
        <w:rPr>
          <w:rFonts w:asciiTheme="minorHAnsi" w:hAnsiTheme="minorHAnsi"/>
          <w:sz w:val="22"/>
          <w:szCs w:val="22"/>
        </w:rPr>
        <w:t>, a madeira não poderá ser pintada com óleo queimado, devendo ser utilizado produto adequado devidamente aprovado pela fiscalização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0" w:name="_Toc211757101"/>
      <w:r w:rsidRPr="005C0116">
        <w:rPr>
          <w:rFonts w:asciiTheme="minorHAnsi" w:hAnsiTheme="minorHAnsi"/>
          <w:b/>
          <w:sz w:val="22"/>
          <w:szCs w:val="22"/>
        </w:rPr>
        <w:t>Cláusula 27.ª</w:t>
      </w:r>
      <w:bookmarkEnd w:id="30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bookmarkStart w:id="31" w:name="_Toc36544904"/>
      <w:r>
        <w:rPr>
          <w:rFonts w:asciiTheme="minorHAnsi" w:hAnsiTheme="minorHAnsi"/>
          <w:b/>
          <w:sz w:val="22"/>
          <w:szCs w:val="22"/>
        </w:rPr>
        <w:t>Pintur</w:t>
      </w:r>
      <w:r w:rsidRPr="005C0116">
        <w:rPr>
          <w:rFonts w:asciiTheme="minorHAnsi" w:hAnsiTheme="minorHAnsi"/>
          <w:b/>
          <w:sz w:val="22"/>
          <w:szCs w:val="22"/>
        </w:rPr>
        <w:t>as</w:t>
      </w:r>
      <w:bookmarkEnd w:id="31"/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Este artigo inclui todos os trabalhos e fornecimentos necessários, salientando-se o fornecimento da tinta, a sua aplicação nas demãos necessárias, e a execução das amostras necessárias para a afinação das cores.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tinta a aplicar será de base aquosa, própria para aplicação sobre reboco exterior, de elevada impermeabilidade e de fabrico de reconhecida qualidade.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tinta deverá dar entrada na obra em embalagens de origem, e será de </w:t>
      </w:r>
      <w:proofErr w:type="spellStart"/>
      <w:r w:rsidRPr="00B70000">
        <w:rPr>
          <w:rFonts w:asciiTheme="minorHAnsi" w:hAnsiTheme="minorHAnsi"/>
          <w:sz w:val="22"/>
          <w:szCs w:val="22"/>
        </w:rPr>
        <w:t>côr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a escolher pela fiscalização.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Todas as superfícies a pintar serão isoladas com produto apropriado à natureza do paramento e segundo as instruções do fabricante da tinta. Sobre o isolamento será dado o número de demãos indicado pelo fabricante, no mínimo de duas, e até ser obtida uma </w:t>
      </w:r>
      <w:proofErr w:type="spellStart"/>
      <w:r w:rsidRPr="00B70000">
        <w:rPr>
          <w:rFonts w:asciiTheme="minorHAnsi" w:hAnsiTheme="minorHAnsi"/>
          <w:sz w:val="22"/>
          <w:szCs w:val="22"/>
        </w:rPr>
        <w:t>côr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uniforme e um perfeito recobrimento das superfícies.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primeira demão será aplicada à trincha e as restantes de acordo com as instruções da fiscalização.</w:t>
      </w:r>
    </w:p>
    <w:p w:rsidR="00EB43ED" w:rsidRPr="0022167B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instruções de aplicação dos isolamentos e das tintas serão fornecidas à fiscalização antes do início do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trabalho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2" w:name="_Toc211757102"/>
      <w:r w:rsidRPr="005C0116">
        <w:rPr>
          <w:rFonts w:asciiTheme="minorHAnsi" w:hAnsiTheme="minorHAnsi"/>
          <w:b/>
          <w:sz w:val="22"/>
          <w:szCs w:val="22"/>
        </w:rPr>
        <w:t>Cláusula 28.ª</w:t>
      </w:r>
      <w:bookmarkEnd w:id="3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Outros trabalhos de construção civil</w:t>
      </w:r>
    </w:p>
    <w:p w:rsidR="00EB43ED" w:rsidRPr="00B70000" w:rsidRDefault="00EB43ED" w:rsidP="008B3E57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Todos os trabalhos descritos neste Caderno de Encargos e ainda os omissos, mas verificados pela fiscalização como necessários à boa realização da empreitada, serão executados com o máximo cuidado e perfeição segundo as regras de boa técnica e sempre com a aprovação da fiscalização.</w:t>
      </w:r>
    </w:p>
    <w:p w:rsidR="00EB43ED" w:rsidRPr="0022167B" w:rsidRDefault="00EB43ED" w:rsidP="008B3E57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facto de a fiscalização aprovar qualquer trabalho, não isenta o empreiteiro das responsabilidades sobre o comportamento da parte da empreitada onde esse trabalho for executado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33" w:name="_Toc36544906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4" w:name="_Toc211757103"/>
      <w:r w:rsidRPr="005C0116">
        <w:rPr>
          <w:rFonts w:asciiTheme="minorHAnsi" w:hAnsiTheme="minorHAnsi"/>
          <w:b/>
          <w:sz w:val="22"/>
          <w:szCs w:val="22"/>
        </w:rPr>
        <w:t>Cláusula 29.ª</w:t>
      </w:r>
      <w:bookmarkEnd w:id="34"/>
    </w:p>
    <w:bookmarkEnd w:id="33"/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Continuidade do fornecimento de água</w:t>
      </w:r>
    </w:p>
    <w:p w:rsidR="00EB43ED" w:rsidRPr="00EC5E80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Durante a execução de todos os trabalhos, e muito em particular na implantação de redes de abastecimento de água e drenagem de águas residuais, deve ser garantida a continuidade </w:t>
      </w:r>
      <w:r w:rsidRPr="00EC5E80">
        <w:rPr>
          <w:rFonts w:asciiTheme="minorHAnsi" w:hAnsiTheme="minorHAnsi"/>
          <w:sz w:val="22"/>
          <w:szCs w:val="22"/>
        </w:rPr>
        <w:lastRenderedPageBreak/>
        <w:t>do fornecimento de água aos consumidores, sendo da responsabilidade do empreiteiro todos os prejuízos ou danos que advierem da interrupção desse fornecimento por motivo de obras.</w:t>
      </w:r>
    </w:p>
    <w:p w:rsidR="00EB43ED" w:rsidRPr="00EC5E80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São do encargo do empreiteiro a </w:t>
      </w:r>
      <w:proofErr w:type="spellStart"/>
      <w:r w:rsidRPr="00EC5E80">
        <w:rPr>
          <w:rFonts w:asciiTheme="minorHAnsi" w:hAnsiTheme="minorHAnsi"/>
          <w:sz w:val="22"/>
          <w:szCs w:val="22"/>
        </w:rPr>
        <w:t>concepção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a execução e todos os custos de um sistema de abastecimento alternativo, de modo a garantir a continuidade do fornecimento de água aos consumidores durante a execução dos trabalhos.</w:t>
      </w:r>
    </w:p>
    <w:p w:rsidR="00EB43ED" w:rsidRPr="0022167B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responsabilidade e todos os encargos inerentes à instalação de um sistema de “</w:t>
      </w:r>
      <w:proofErr w:type="spellStart"/>
      <w:r w:rsidRPr="00EC5E80">
        <w:rPr>
          <w:rFonts w:asciiTheme="minorHAnsi" w:hAnsiTheme="minorHAnsi"/>
          <w:sz w:val="22"/>
          <w:szCs w:val="22"/>
        </w:rPr>
        <w:t>by-pass</w:t>
      </w:r>
      <w:proofErr w:type="spellEnd"/>
      <w:r w:rsidRPr="00EC5E80">
        <w:rPr>
          <w:rFonts w:asciiTheme="minorHAnsi" w:hAnsiTheme="minorHAnsi"/>
          <w:sz w:val="22"/>
          <w:szCs w:val="22"/>
        </w:rPr>
        <w:t>” por troços sucessivos, onde serão ligados provisoriamente os ramais domiciliários de água, são da conta do empreiteiro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5" w:name="_Toc211757105"/>
      <w:bookmarkStart w:id="36" w:name="_Toc36544908"/>
      <w:r w:rsidRPr="005C0116">
        <w:rPr>
          <w:rFonts w:asciiTheme="minorHAnsi" w:hAnsiTheme="minorHAnsi"/>
          <w:b/>
          <w:sz w:val="22"/>
          <w:szCs w:val="22"/>
        </w:rPr>
        <w:t>Cláusula 30.ª</w:t>
      </w:r>
      <w:bookmarkEnd w:id="35"/>
    </w:p>
    <w:bookmarkEnd w:id="36"/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Sinalização de carácter temporário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 sinalização de trabalhos na via pública deve cumprir o disposto no Plano de Sinalização Provisório.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Os trabalhos deverão ser sinalizados de acordo com o disposto no Decreto-Regulamentar nº 33/88, de 12 de Setembro, e após aprovação pela Fiscalização.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Em trabalhos de grande extensão, de largura de faixa de rodagem reduzida, ou de fraca visibilidade de circulação, deve ser considerada a presença de sinalização semafórica amovível, ou de dois sinaleiros munidos de sistemas de intercomunicação, que comandem a circulação alternada através de raquetas, nos termos do disposto no Decreto-Regulamentar nº 33/88, de 12 de Setembro.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Sempre que exista sinalização semafórica amovível, esta deve ser indicada pelos sinais de perigo correspondentes.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As zonas de trabalhos deverão ser protegidas com cones, balizas e outros dispositivos complementares, como fitas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reflectorizadas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 natureza dos sinais deverá ser de material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reflectorizado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as suas dimensões deverão respeitar integralmente o estipulado no Decreto-Regulamentar nº 33/88, de 12 de Setembro. Na generalidade dos casos, nenhum sinal de trânsito ficará a menos de 50 metros do antecedente.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Todas as máquinas ou camiões intervenientes na obra devem ser devidamente sinalizados através de baias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C5E80">
        <w:rPr>
          <w:rFonts w:asciiTheme="minorHAnsi" w:hAnsiTheme="minorHAnsi"/>
          <w:sz w:val="22"/>
          <w:szCs w:val="22"/>
        </w:rPr>
        <w:t>direccionais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de posição pintadas ou coladas na frente e na retaguarda.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 pessoal interveniente na obra deverá usar coletes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para que a sua presença seja facilmente </w:t>
      </w:r>
      <w:proofErr w:type="spellStart"/>
      <w:r w:rsidRPr="00EC5E80">
        <w:rPr>
          <w:rFonts w:asciiTheme="minorHAnsi" w:hAnsiTheme="minorHAnsi"/>
          <w:sz w:val="22"/>
          <w:szCs w:val="22"/>
        </w:rPr>
        <w:t>perceptível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Nenhuma obra poderá ser iniciada sem estar devidamente sinalizada. Os trabalhos não podem ser iniciados sem ser solicitada a presença dos Serviços de Fiscalização do Município para verificação da solução previamente aprovada, sendo obrigatório o registo escrito da situação observada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7" w:name="_Toc211757106"/>
      <w:r w:rsidRPr="005C0116">
        <w:rPr>
          <w:rFonts w:asciiTheme="minorHAnsi" w:hAnsiTheme="minorHAnsi"/>
          <w:b/>
          <w:sz w:val="22"/>
          <w:szCs w:val="22"/>
        </w:rPr>
        <w:t>Cláusula 31.ª</w:t>
      </w:r>
      <w:bookmarkEnd w:id="3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Drenagem de águas residuais domésticas ramal domiciliário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Compreende-se por ligação domiciliária o ramal de ligação desde o limite da propriedade até ao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incluindo a caixa </w:t>
      </w:r>
      <w:proofErr w:type="spellStart"/>
      <w:r w:rsidRPr="00EC5E80">
        <w:rPr>
          <w:rFonts w:asciiTheme="minorHAnsi" w:hAnsiTheme="minorHAnsi"/>
          <w:sz w:val="22"/>
          <w:szCs w:val="22"/>
        </w:rPr>
        <w:t>receptora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Nas empreitadas a medição da tubagem será feita desde a face interior da caixa </w:t>
      </w:r>
      <w:proofErr w:type="spellStart"/>
      <w:r w:rsidRPr="00EC5E80">
        <w:rPr>
          <w:rFonts w:asciiTheme="minorHAnsi" w:hAnsiTheme="minorHAnsi"/>
          <w:sz w:val="22"/>
          <w:szCs w:val="22"/>
        </w:rPr>
        <w:t>receptora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do prédio até à face interior do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da caixa de visita onde é feita a ligação.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Todos os ramais da rede de esgotos serão executados em tubagens de características iguais às dos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com um diâmetro interno mínimo de 125mm ou imediatamente superior, se outro material não for previsto no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podendo ser utilizados diâmetros comerciais </w:t>
      </w:r>
      <w:r w:rsidRPr="00EC5E80">
        <w:rPr>
          <w:rFonts w:asciiTheme="minorHAnsi" w:hAnsiTheme="minorHAnsi"/>
          <w:sz w:val="22"/>
          <w:szCs w:val="22"/>
        </w:rPr>
        <w:lastRenderedPageBreak/>
        <w:t xml:space="preserve">superiores quando tal for previsto no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indicado pela fiscalização, e em função das unidades de escoamento de cada prédio.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As caixas </w:t>
      </w:r>
      <w:proofErr w:type="spellStart"/>
      <w:r w:rsidRPr="00EC5E80">
        <w:rPr>
          <w:rFonts w:asciiTheme="minorHAnsi" w:hAnsiTheme="minorHAnsi"/>
          <w:sz w:val="22"/>
          <w:szCs w:val="22"/>
        </w:rPr>
        <w:t>interceptoras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cada ramal, de </w:t>
      </w:r>
      <w:proofErr w:type="spellStart"/>
      <w:r w:rsidRPr="00EC5E80">
        <w:rPr>
          <w:rFonts w:asciiTheme="minorHAnsi" w:hAnsiTheme="minorHAnsi"/>
          <w:sz w:val="22"/>
          <w:szCs w:val="22"/>
        </w:rPr>
        <w:t>inspecção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limpeza, serão em polipropileno, com tampa em ferro fundido, serão do tipo telescópico sempre que o pavimento for inclinado relativamente ao eixo vertical da caixa, e serão compostas por soleira, ligações à tubagem, base, tubo de aumento da altura, sistema telescópico (se necessário), maciço e tampa (</w:t>
      </w:r>
      <w:proofErr w:type="spellStart"/>
      <w:r w:rsidRPr="00EC5E80">
        <w:rPr>
          <w:rFonts w:asciiTheme="minorHAnsi" w:hAnsiTheme="minorHAnsi"/>
          <w:sz w:val="22"/>
          <w:szCs w:val="22"/>
        </w:rPr>
        <w:t>incl.aro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). Terão um diâmetro de 0,40m, e devem ser assentes à profundidade de 1.00m. As caixas devem ser instalados em espaço público, o mais próximo possível do limite do prédio a servir (numa distância nunca superior a 0.50m do limite do prédio salvo ordem da fiscalização). Admitem-se caixas em betão pré-fabricado de acordo com as peças desenhadas do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 soleira será assente sobre camada de betão de limpeza, com 0,10m de espessura. As ligações serão </w:t>
      </w:r>
      <w:proofErr w:type="spellStart"/>
      <w:r w:rsidRPr="00EC5E80">
        <w:rPr>
          <w:rFonts w:asciiTheme="minorHAnsi" w:hAnsiTheme="minorHAnsi"/>
          <w:sz w:val="22"/>
          <w:szCs w:val="22"/>
        </w:rPr>
        <w:t>directas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por intermédio de reduções excêntricas. A ligação aos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será por intermédio de forquilha, no mesmo material. No caso de ligação a caixa de visita, tal deverá ser concretizada ao nível da soleira e incluir a realização da caleira.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Em todas as caixas </w:t>
      </w:r>
      <w:proofErr w:type="spellStart"/>
      <w:r w:rsidRPr="00EC5E80">
        <w:rPr>
          <w:rFonts w:asciiTheme="minorHAnsi" w:hAnsiTheme="minorHAnsi"/>
          <w:sz w:val="22"/>
          <w:szCs w:val="22"/>
        </w:rPr>
        <w:t>interceptoras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ramal será assente uma tampa em ferro fundido com vedação hidráulica, incluindo o aro, redondo ou quadrado, e da classe conforme determina a norma EN124 e NP 01/88 (B125 em passeios e D400 em bermas e faixa de rodagem).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As tampas de ferro fundido terão gravado os seguintes dizeres: Município de Caminha; SANEAMENTO; Norma EN 124; classe da tampa; ano de execução da obra.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empreiteiro fica obrigado a executar todas as ligações domiciliárias necessárias, qualquer que seja o seu número, por indicação da fiscalização, considerando sempre uma ligação por cada prédio edificado existente confinante com o arruamento a servir.</w:t>
      </w:r>
    </w:p>
    <w:p w:rsidR="00EB43ED" w:rsidRPr="0022167B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É interdita a ligação de águas pluviais ao sistema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esgotos. As águas pluviais devem ser lançadas na rede de drenagem de águas residuais pluviais, ou nas valetas e lin</w:t>
      </w:r>
      <w:r>
        <w:rPr>
          <w:rFonts w:asciiTheme="minorHAnsi" w:hAnsiTheme="minorHAnsi"/>
          <w:sz w:val="22"/>
          <w:szCs w:val="22"/>
        </w:rPr>
        <w:t>has de águas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38" w:name="_Toc36544910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9" w:name="_Toc211757107"/>
      <w:r w:rsidRPr="005C0116">
        <w:rPr>
          <w:rFonts w:asciiTheme="minorHAnsi" w:hAnsiTheme="minorHAnsi"/>
          <w:b/>
          <w:sz w:val="22"/>
          <w:szCs w:val="22"/>
        </w:rPr>
        <w:t>Cláusula 32.ª</w:t>
      </w:r>
      <w:bookmarkEnd w:id="39"/>
    </w:p>
    <w:bookmarkEnd w:id="38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Ramal Domiciliário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execução dos ramais compreende o fornecimento do material e seu assentamento, e os seguintes trabalhos:</w:t>
      </w:r>
    </w:p>
    <w:p w:rsidR="00EB43ED" w:rsidRPr="00EC5E80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Levantamento e reposição de pavimentos;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Abertura e tapamento de valas;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- Abertura e refechamento de roços abertos para colocação da tubagem e </w:t>
      </w:r>
      <w:r>
        <w:rPr>
          <w:rFonts w:asciiTheme="minorHAnsi" w:hAnsiTheme="minorHAnsi"/>
          <w:sz w:val="22"/>
          <w:szCs w:val="22"/>
        </w:rPr>
        <w:t>acessórios e caixa do contador;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Execução de marco em alvenaria de tijolo ou betão, sempre que não haja parede ou muro em condições para o efei</w:t>
      </w:r>
      <w:r>
        <w:rPr>
          <w:rFonts w:asciiTheme="minorHAnsi" w:hAnsiTheme="minorHAnsi"/>
          <w:sz w:val="22"/>
          <w:szCs w:val="22"/>
        </w:rPr>
        <w:t>to, incluindo reboco e caiação;</w:t>
      </w:r>
    </w:p>
    <w:p w:rsidR="00EB43ED" w:rsidRPr="00EC5E80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Remoção e transporte dos produtos sobrantes a vazadouro.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Todos os ramais serão executados em tubo de polietileno de alta densidade ou PVC (</w:t>
      </w:r>
      <w:proofErr w:type="spellStart"/>
      <w:r w:rsidRPr="00EC5E80">
        <w:rPr>
          <w:rFonts w:asciiTheme="minorHAnsi" w:hAnsiTheme="minorHAnsi"/>
          <w:sz w:val="22"/>
          <w:szCs w:val="22"/>
        </w:rPr>
        <w:t>hidronil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) de 1,0 </w:t>
      </w:r>
      <w:proofErr w:type="spellStart"/>
      <w:r w:rsidRPr="00EC5E80">
        <w:rPr>
          <w:rFonts w:asciiTheme="minorHAnsi" w:hAnsiTheme="minorHAnsi"/>
          <w:sz w:val="22"/>
          <w:szCs w:val="22"/>
        </w:rPr>
        <w:t>MPa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montado sem que haja qualquer dobra em todo o seu comprimento. Dos seus pertences constarão uma válvula de cunha em FFD, tipo AVK ou equivalente, com haste e cabeça móvel, uma válvula para selar fêmea/fêmea, uma portinhola </w:t>
      </w:r>
      <w:proofErr w:type="spellStart"/>
      <w:r w:rsidRPr="00EC5E80">
        <w:rPr>
          <w:rFonts w:asciiTheme="minorHAnsi" w:hAnsiTheme="minorHAnsi"/>
          <w:sz w:val="22"/>
          <w:szCs w:val="22"/>
        </w:rPr>
        <w:t>rectangular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0,50 x 0,40 com óculo, fecho plástico triangular macho/fêmea, e acessório para apoio e ligação do contador.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 ramal será terminado em parede ou muro existente ou marco a construir com as dimensões normalizadas, conforme pormenor. No caso de edifícios multifamiliares ou para utilização mista, o ramal será terminado no alvéolo de contadores, que deverá ser único e </w:t>
      </w:r>
      <w:proofErr w:type="spellStart"/>
      <w:r w:rsidRPr="00EC5E80">
        <w:rPr>
          <w:rFonts w:asciiTheme="minorHAnsi" w:hAnsiTheme="minorHAnsi"/>
          <w:sz w:val="22"/>
          <w:szCs w:val="22"/>
        </w:rPr>
        <w:t>directamente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acessível a partir do espaço público.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lastRenderedPageBreak/>
        <w:t xml:space="preserve">As valas terão a profundidade de 1,00m, </w:t>
      </w:r>
      <w:proofErr w:type="spellStart"/>
      <w:r w:rsidRPr="00EC5E80">
        <w:rPr>
          <w:rFonts w:asciiTheme="minorHAnsi" w:hAnsiTheme="minorHAnsi"/>
          <w:sz w:val="22"/>
          <w:szCs w:val="22"/>
        </w:rPr>
        <w:t>excepto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sob os passeios, onde terão a profundidade de 0,60m, e ainda os casos especiais a considerar pela fiscalização.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caixa para os contadores, deverão ficar visíveis e acessíveis da via pública, e cumprindo as dimensões dos desenhos tipo.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empreiteiro fica obrigado a executar todas as ligações domiciliárias necessárias, qualquer que seja o seu número, por indicação da fiscalização.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Os ramais domiciliários devem ser ensaiados a uma pressão igual a uma vez e meia a pressão de serviço da rede no local, com o mínimo de 0,6 </w:t>
      </w:r>
      <w:proofErr w:type="spellStart"/>
      <w:r w:rsidRPr="00EC5E80">
        <w:rPr>
          <w:rFonts w:asciiTheme="minorHAnsi" w:hAnsiTheme="minorHAnsi"/>
          <w:sz w:val="22"/>
          <w:szCs w:val="22"/>
        </w:rPr>
        <w:t>MPa</w:t>
      </w:r>
      <w:proofErr w:type="spellEnd"/>
      <w:r w:rsidRPr="00EC5E80">
        <w:rPr>
          <w:rFonts w:asciiTheme="minorHAnsi" w:hAnsiTheme="minorHAnsi"/>
          <w:sz w:val="22"/>
          <w:szCs w:val="22"/>
        </w:rPr>
        <w:t>. A queda de pressão em meia hora não deve exceder o limite dado pela fórmula P/5, em que P é a pressão de ensaio.</w:t>
      </w:r>
    </w:p>
    <w:p w:rsidR="00EB43ED" w:rsidRPr="0022167B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comprimento do ramal será considerado na horizontal, sobre o pavimento, e corresponderá à menor distância entre a conduta da rede e</w:t>
      </w:r>
      <w:r>
        <w:rPr>
          <w:rFonts w:asciiTheme="minorHAnsi" w:hAnsiTheme="minorHAnsi"/>
          <w:sz w:val="22"/>
          <w:szCs w:val="22"/>
        </w:rPr>
        <w:t xml:space="preserve"> a prumada da caixa de contador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0" w:name="_Toc211757108"/>
      <w:bookmarkStart w:id="41" w:name="_Toc36544911"/>
      <w:r w:rsidRPr="005C0116">
        <w:rPr>
          <w:rFonts w:asciiTheme="minorHAnsi" w:hAnsiTheme="minorHAnsi"/>
          <w:b/>
          <w:sz w:val="22"/>
          <w:szCs w:val="22"/>
        </w:rPr>
        <w:t>Cláusula 33.ª</w:t>
      </w:r>
      <w:bookmarkEnd w:id="40"/>
    </w:p>
    <w:bookmarkEnd w:id="41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Caixas de visita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As caixas de visita devem ser executadas por forma a garantir estanquidade. Deverão ser constituídas da seguinte forma, salvo se outra solução mais eficiente estiver prevista em </w:t>
      </w:r>
      <w:proofErr w:type="spellStart"/>
      <w:r w:rsidRPr="001329EB">
        <w:rPr>
          <w:rFonts w:asciiTheme="minorHAnsi" w:hAnsiTheme="minorHAnsi"/>
          <w:sz w:val="22"/>
          <w:szCs w:val="22"/>
        </w:rPr>
        <w:t>projecto</w:t>
      </w:r>
      <w:proofErr w:type="spellEnd"/>
      <w:r w:rsidRPr="001329EB">
        <w:rPr>
          <w:rFonts w:asciiTheme="minorHAnsi" w:hAnsiTheme="minorHAnsi"/>
          <w:sz w:val="22"/>
          <w:szCs w:val="22"/>
        </w:rPr>
        <w:t>: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1. Soleira – pré-fabricada, em betão incluindo caleira e passa-muros em PVC ou PP para ligação ao </w:t>
      </w:r>
      <w:proofErr w:type="spellStart"/>
      <w:r w:rsidRPr="001329EB">
        <w:rPr>
          <w:rFonts w:asciiTheme="minorHAnsi" w:hAnsiTheme="minorHAnsi"/>
          <w:sz w:val="22"/>
          <w:szCs w:val="22"/>
        </w:rPr>
        <w:t>colector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junta para encaixe dos anéis, com altura mínima de 0,50 m.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2. Corpo – será em anéis de betão pré-fabricados.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3. Dispositivo de fecho – será em F.F.D., conforme pormenor, e garantindo a norma EN 124 e as seguintes inscrições: </w:t>
      </w:r>
    </w:p>
    <w:p w:rsidR="00EB43ED" w:rsidRPr="001329EB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CM Caminha;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Tipo de </w:t>
      </w:r>
      <w:proofErr w:type="spellStart"/>
      <w:r w:rsidRPr="001329EB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1329EB">
        <w:rPr>
          <w:rFonts w:asciiTheme="minorHAnsi" w:hAnsiTheme="minorHAnsi"/>
          <w:sz w:val="22"/>
          <w:szCs w:val="22"/>
        </w:rPr>
        <w:t>: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Águas;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Esgotos;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Pluviais;</w:t>
      </w:r>
    </w:p>
    <w:p w:rsidR="00EB43ED" w:rsidRPr="001329EB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EN124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Classe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respectiva</w:t>
      </w:r>
      <w:proofErr w:type="spellEnd"/>
      <w:r w:rsidRPr="001329EB">
        <w:rPr>
          <w:rFonts w:asciiTheme="minorHAnsi" w:hAnsiTheme="minorHAnsi"/>
          <w:sz w:val="22"/>
          <w:szCs w:val="22"/>
        </w:rPr>
        <w:t>;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Ano de execução da obra.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 marcação nas tampas não deve ser removível.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4. Degraus - Serão em polipropileno ou PRV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42" w:name="_Toc36544912"/>
    </w:p>
    <w:p w:rsidR="00EB43ED" w:rsidRPr="00F147C5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bookmarkStart w:id="43" w:name="_Toc211757110"/>
      <w:bookmarkStart w:id="44" w:name="_Toc36544913"/>
      <w:bookmarkEnd w:id="42"/>
      <w:r w:rsidRPr="00F147C5">
        <w:rPr>
          <w:rFonts w:asciiTheme="minorHAnsi" w:hAnsiTheme="minorHAnsi"/>
          <w:b/>
          <w:sz w:val="22"/>
          <w:szCs w:val="22"/>
        </w:rPr>
        <w:t>Cláusula 34.ª</w:t>
      </w:r>
      <w:bookmarkEnd w:id="43"/>
    </w:p>
    <w:bookmarkEnd w:id="44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Aparelhos de Iluminação Pública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Deverá possuir as seguintes características mecânicas,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luminotécnicas e de desenho: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Modelo fechado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corpo em liga de alumínio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bloco </w:t>
      </w:r>
      <w:proofErr w:type="spellStart"/>
      <w:r w:rsidRPr="001329EB">
        <w:rPr>
          <w:rFonts w:asciiTheme="minorHAnsi" w:hAnsiTheme="minorHAnsi"/>
          <w:sz w:val="22"/>
          <w:szCs w:val="22"/>
        </w:rPr>
        <w:t>óptico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IP66 </w:t>
      </w:r>
      <w:proofErr w:type="spellStart"/>
      <w:r w:rsidRPr="001329EB">
        <w:rPr>
          <w:rFonts w:asciiTheme="minorHAnsi" w:hAnsiTheme="minorHAnsi"/>
          <w:sz w:val="22"/>
          <w:szCs w:val="22"/>
        </w:rPr>
        <w:t>Sealsafe</w:t>
      </w:r>
      <w:proofErr w:type="spellEnd"/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lastRenderedPageBreak/>
        <w:tab/>
        <w:t>- IK 10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Classe II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Montagem vertical penetrada no topo de coluna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Difusor selado a um </w:t>
      </w:r>
      <w:proofErr w:type="spellStart"/>
      <w:r w:rsidRPr="001329EB">
        <w:rPr>
          <w:rFonts w:asciiTheme="minorHAnsi" w:hAnsiTheme="minorHAnsi"/>
          <w:sz w:val="22"/>
          <w:szCs w:val="22"/>
        </w:rPr>
        <w:t>reflector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em alumínio polido quimicamente e anodizado.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Acessórios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são montados em placa própria amovível. Sistema de fixação universal</w:t>
      </w:r>
    </w:p>
    <w:p w:rsidR="00EB43ED" w:rsidRPr="0022167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Equipada com uma lâmpada de vapor de sódio de alta pressão de 100 W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5" w:name="_Toc211757111"/>
      <w:bookmarkStart w:id="46" w:name="_Toc36544914"/>
      <w:r>
        <w:rPr>
          <w:rFonts w:asciiTheme="minorHAnsi" w:hAnsiTheme="minorHAnsi"/>
          <w:b/>
          <w:sz w:val="22"/>
          <w:szCs w:val="22"/>
        </w:rPr>
        <w:t>Cláusula 35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45"/>
    </w:p>
    <w:bookmarkEnd w:id="46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Colunas de Iluminação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As colunas de iluminação deve possuir as seguintes características: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Construídas em aço galvanizado por imersão a quente, com 3 mm de espessura, com acabamento liso.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Sem pintura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Secção </w:t>
      </w:r>
      <w:proofErr w:type="spellStart"/>
      <w:r w:rsidRPr="001329EB">
        <w:rPr>
          <w:rFonts w:asciiTheme="minorHAnsi" w:hAnsiTheme="minorHAnsi"/>
          <w:sz w:val="22"/>
          <w:szCs w:val="22"/>
        </w:rPr>
        <w:t>tronco-conica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150/60 mm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Com 9 m de altura útil, Com braço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Fixação por enterramento (sem flange)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A secção inferior de coluna, será dotada de portinhola com tampa, a pelo menos 0,50 m do pavimento, com fecho de segurança e que vede a entrada de agua proveniente de </w:t>
      </w:r>
      <w:proofErr w:type="spellStart"/>
      <w:r w:rsidRPr="001329EB">
        <w:rPr>
          <w:rFonts w:asciiTheme="minorHAnsi" w:hAnsiTheme="minorHAnsi"/>
          <w:sz w:val="22"/>
          <w:szCs w:val="22"/>
        </w:rPr>
        <w:t>jactos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(IP*5*)</w:t>
      </w:r>
    </w:p>
    <w:p w:rsidR="00EB43ED" w:rsidRPr="0022167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Os quadros a instalar nas portinholas das colunas serão constituídos por caixa em poliéster com bornes e corta circuitos fusível do tipo </w:t>
      </w:r>
      <w:proofErr w:type="spellStart"/>
      <w:r w:rsidRPr="001329EB">
        <w:rPr>
          <w:rFonts w:asciiTheme="minorHAnsi" w:hAnsiTheme="minorHAnsi"/>
          <w:sz w:val="22"/>
          <w:szCs w:val="22"/>
        </w:rPr>
        <w:t>gl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rolo, calibre 4 A no interior de base, com manípulo de </w:t>
      </w:r>
      <w:proofErr w:type="spellStart"/>
      <w:r w:rsidRPr="001329EB">
        <w:rPr>
          <w:rFonts w:asciiTheme="minorHAnsi" w:hAnsiTheme="minorHAnsi"/>
          <w:sz w:val="22"/>
          <w:szCs w:val="22"/>
        </w:rPr>
        <w:t>extracção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, fixada por aperto elástico a calha. Os quadros serão de modelo aprovado pela EDP-D. As pontas dos cabos serão protegidas por mangas </w:t>
      </w:r>
      <w:proofErr w:type="spellStart"/>
      <w:r w:rsidRPr="001329EB">
        <w:rPr>
          <w:rFonts w:asciiTheme="minorHAnsi" w:hAnsiTheme="minorHAnsi"/>
          <w:sz w:val="22"/>
          <w:szCs w:val="22"/>
        </w:rPr>
        <w:t>termoretrácteis</w:t>
      </w:r>
      <w:proofErr w:type="spellEnd"/>
      <w:r w:rsidRPr="001329EB">
        <w:rPr>
          <w:rFonts w:asciiTheme="minorHAnsi" w:hAnsiTheme="minorHAnsi"/>
          <w:sz w:val="22"/>
          <w:szCs w:val="22"/>
        </w:rPr>
        <w:t>, sendo este procedimento extensivo às pontas dos armários.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7" w:name="_Toc211757112"/>
      <w:r w:rsidRPr="005C0116">
        <w:rPr>
          <w:rFonts w:asciiTheme="minorHAnsi" w:hAnsiTheme="minorHAnsi"/>
          <w:b/>
          <w:sz w:val="22"/>
          <w:szCs w:val="22"/>
        </w:rPr>
        <w:t>Cláusula 36.ª</w:t>
      </w:r>
      <w:bookmarkEnd w:id="4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Armários de Distribuição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Os armários de distribuição terão as seguintes características principais.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Índice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:  IP 55 IK 09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Classe de Isolamento II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Os armários serão instalados sobre plinto de alvenaria de tijolo revestida a betonilha de cimento e com altura de 0,30m acima do pavimento. Em alternativa admite-se plinto em fibra de vidro compatível com o armário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 invólucro em </w:t>
      </w:r>
      <w:proofErr w:type="spellStart"/>
      <w:r w:rsidRPr="001329EB">
        <w:rPr>
          <w:rFonts w:asciiTheme="minorHAnsi" w:hAnsiTheme="minorHAnsi"/>
          <w:sz w:val="22"/>
          <w:szCs w:val="22"/>
        </w:rPr>
        <w:t>poliester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reforçado a fibra de vidro, de modelo homologado pela EDP D.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Os armário e quadros serão </w:t>
      </w:r>
      <w:proofErr w:type="spellStart"/>
      <w:r w:rsidRPr="001329EB">
        <w:rPr>
          <w:rFonts w:asciiTheme="minorHAnsi" w:hAnsiTheme="minorHAnsi"/>
          <w:sz w:val="22"/>
          <w:szCs w:val="22"/>
        </w:rPr>
        <w:t>electrificados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acordo com os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esquemas de princípio.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No interior de cada armário e quadro serão afixadas etiquetas em </w:t>
      </w:r>
      <w:proofErr w:type="spellStart"/>
      <w:r w:rsidRPr="001329EB">
        <w:rPr>
          <w:rFonts w:asciiTheme="minorHAnsi" w:hAnsiTheme="minorHAnsi"/>
          <w:sz w:val="22"/>
          <w:szCs w:val="22"/>
        </w:rPr>
        <w:t>trafólite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 com a indicação de todos os circuitos (entradas e saídas) para identificação   dos circuitos a que respeitam os aparelhos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ligação existente.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lastRenderedPageBreak/>
        <w:t xml:space="preserve">- Nas ligações dos condutores de alumínio aos barramentos de cobre, (além da instalação de ligadores bimetálicos, serão </w:t>
      </w:r>
      <w:proofErr w:type="spellStart"/>
      <w:r w:rsidRPr="001329EB">
        <w:rPr>
          <w:rFonts w:asciiTheme="minorHAnsi" w:hAnsiTheme="minorHAnsi"/>
          <w:sz w:val="22"/>
          <w:szCs w:val="22"/>
        </w:rPr>
        <w:t>adoptadas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precauções especiais tendentes a evitar a corrosão </w:t>
      </w:r>
      <w:proofErr w:type="spellStart"/>
      <w:r w:rsidRPr="001329EB">
        <w:rPr>
          <w:rFonts w:asciiTheme="minorHAnsi" w:hAnsiTheme="minorHAnsi"/>
          <w:sz w:val="22"/>
          <w:szCs w:val="22"/>
        </w:rPr>
        <w:t>electroquímica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dessas ligações a assegurar o contacto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por forma a que a temperatura, em  serviço normal não exceda a dos condutores. 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Os barramentos serão em barra de cobre 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A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pessoas será assegurada pela ligação à terra (a simultaneamente ao neutro) de invólucro dos quadros. A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/serviço será realizada por cabo VV 35 mm2 ligando o ligador de terra a varetas de aço cobreado com as dimensões mínimas regulamentares. 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Junto e em frente dos armários serão construídas câmaras de visita para facilitar o encaminhamento dos cabos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8" w:name="_Toc211757113"/>
      <w:r w:rsidRPr="005C0116">
        <w:rPr>
          <w:rFonts w:asciiTheme="minorHAnsi" w:hAnsiTheme="minorHAnsi"/>
          <w:b/>
          <w:sz w:val="22"/>
          <w:szCs w:val="22"/>
        </w:rPr>
        <w:t>Cláusula 37.ª</w:t>
      </w:r>
      <w:bookmarkEnd w:id="48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 xml:space="preserve">Execução das Terras de </w:t>
      </w:r>
      <w:proofErr w:type="spellStart"/>
      <w:r w:rsidRPr="001329EB">
        <w:rPr>
          <w:rFonts w:asciiTheme="minorHAnsi" w:hAnsiTheme="minorHAnsi"/>
          <w:b/>
          <w:sz w:val="22"/>
          <w:szCs w:val="22"/>
        </w:rPr>
        <w:t>Protecção</w:t>
      </w:r>
      <w:proofErr w:type="spellEnd"/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das colunas de iluminação pública será constituído por uma vareta individual.</w:t>
      </w:r>
    </w:p>
    <w:p w:rsidR="00EB43ED" w:rsidRPr="001329E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Ligadores Amovíveis</w:t>
      </w:r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condutores que servem de ligação ao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serão dotados de ligadores amovíveis, que permitam verificar o valor da resistência do circuito de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/serviço.</w:t>
      </w:r>
    </w:p>
    <w:p w:rsidR="00EB43ED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ligadores serão executados e suficientemente dimensionados para ligar os condutores rígidos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, de modo a assegurar a continuidade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do circuito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, sem provocar quedas de tensão e aquecimento exagerados.</w:t>
      </w:r>
    </w:p>
    <w:p w:rsidR="00EB43ED" w:rsidRPr="00A43781" w:rsidRDefault="00EB43ED" w:rsidP="008B3E57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Somente parafusos poderão ser utilizados como dispositivos de aperto mecânico do ligador amovível, o qual será do tipo que não possa ser desapertado sem meios ou ferramentas especiais.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Condutor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A ligação das barras </w:t>
      </w:r>
      <w:proofErr w:type="spellStart"/>
      <w:r w:rsidRPr="001329EB">
        <w:rPr>
          <w:rFonts w:asciiTheme="minorHAnsi" w:hAnsiTheme="minorHAnsi"/>
          <w:sz w:val="22"/>
          <w:szCs w:val="22"/>
        </w:rPr>
        <w:t>colectoras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de serviço/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aos ligadores amovíveis e destes às varetas de aço cobreado, será executada em condutores de cobre isolado, rígido do tipo do tipo H07 V - R 1G16 mm2, no caso das colunas de iluminação e em cabo VV 35 mm2 nos Armários de Distribuição..  </w:t>
      </w:r>
    </w:p>
    <w:p w:rsidR="00EB43ED" w:rsidRPr="001329E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</w:t>
      </w:r>
    </w:p>
    <w:p w:rsidR="00EB43ED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cada coluna de iluminação pública serão constituídos por uma vareta de aço revestido de cobre de espessura de 0,5 mm, com diâmetro exterior de 15mm comprimento de 2,2m.</w:t>
      </w:r>
    </w:p>
    <w:p w:rsidR="00EB43ED" w:rsidRPr="00A43781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Por cada "</w:t>
      </w:r>
      <w:proofErr w:type="spellStart"/>
      <w:r w:rsidRPr="00A43781">
        <w:rPr>
          <w:rFonts w:asciiTheme="minorHAnsi" w:hAnsiTheme="minorHAnsi"/>
          <w:sz w:val="22"/>
          <w:szCs w:val="22"/>
        </w:rPr>
        <w:t>piquet</w:t>
      </w:r>
      <w:proofErr w:type="spellEnd"/>
      <w:r w:rsidRPr="00A43781">
        <w:rPr>
          <w:rFonts w:asciiTheme="minorHAnsi" w:hAnsiTheme="minorHAnsi"/>
          <w:sz w:val="22"/>
          <w:szCs w:val="22"/>
        </w:rPr>
        <w:t>" de terra deverão ser fornecidos os seguintes componentes: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Batente em aço temperado (evita danificar 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aquando da introdução no solo).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Elementos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>, com comprimento "standard" de 1,20m e associados de modo a obter o comprimento pretendido.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União roscada, de aço cadmiado, para interligação dos elementos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>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Ponteira de aço temperado (facilita a introdução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no solo).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Terminal para ligação do cabo com dipositivo de aperto mecânico.</w:t>
      </w:r>
    </w:p>
    <w:p w:rsidR="00EB43ED" w:rsidRPr="0022167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Padrão de qualidade:  BICLAD da </w:t>
      </w:r>
      <w:proofErr w:type="spellStart"/>
      <w:r w:rsidRPr="001329EB">
        <w:rPr>
          <w:rFonts w:asciiTheme="minorHAnsi" w:hAnsiTheme="minorHAnsi"/>
          <w:sz w:val="22"/>
          <w:szCs w:val="22"/>
        </w:rPr>
        <w:t>Sotécnica</w:t>
      </w:r>
      <w:proofErr w:type="spellEnd"/>
      <w:r w:rsidRPr="001329EB">
        <w:rPr>
          <w:rFonts w:asciiTheme="minorHAnsi" w:hAnsiTheme="minorHAnsi"/>
          <w:sz w:val="22"/>
          <w:szCs w:val="22"/>
        </w:rPr>
        <w:t>, ou equivalente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49" w:name="_Toc36544917"/>
    </w:p>
    <w:p w:rsidR="008B3E57" w:rsidRPr="0022167B" w:rsidRDefault="008B3E57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0" w:name="_Toc211757114"/>
      <w:r w:rsidRPr="005C0116">
        <w:rPr>
          <w:rFonts w:asciiTheme="minorHAnsi" w:hAnsiTheme="minorHAnsi"/>
          <w:b/>
          <w:sz w:val="22"/>
          <w:szCs w:val="22"/>
        </w:rPr>
        <w:lastRenderedPageBreak/>
        <w:t>Cláusula 38.ª</w:t>
      </w:r>
      <w:bookmarkEnd w:id="50"/>
    </w:p>
    <w:bookmarkEnd w:id="49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Valas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As valas destinadas à instalação das canalizações enterradas serão escavadas no solo à profundidade de 0,80m, com </w:t>
      </w:r>
      <w:proofErr w:type="spellStart"/>
      <w:r w:rsidRPr="00A43781">
        <w:rPr>
          <w:rFonts w:asciiTheme="minorHAnsi" w:hAnsiTheme="minorHAnsi"/>
          <w:sz w:val="22"/>
          <w:szCs w:val="22"/>
        </w:rPr>
        <w:t>excepção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das travessias dos arruamentos onde a profundidade de colocação será de 1.10m.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Os tubos deverão ser colocados na vala sobre um fundo de terra crivada de 0,10 m, pelo menos, de espessura. Antes disso, o fundo da vala deve ser devidamente regularizado para que o leito de terra fique com espessura uniforme. Após colocação dos tubos, em alguns pontos da vala (afastamento de 15m), o conjunto dos tubos, em alguns pontos da vala (afastamento de 15 m),  será envolvido por argamassa de betão pobre, de modo que os tubos se mantenham paralelos entre si e assentes no fundo. Seguir-se-á uma primeira camada de terra crivada que cobrirá os tubos formando um manto, com espessura aproximada de 0,10 m.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Sobre a segunda camada de terra crivada, e ao longo de toda a vala, deverá ser colocada uma rede em material plástico de cor vermelha cuja finalidade a sinalização das canalizações enterradas.</w:t>
      </w:r>
    </w:p>
    <w:p w:rsidR="00EB43ED" w:rsidRPr="0022167B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 vala deve ser tapada com os produtos da escavação empregando-se camadas sucessivas que serão regadas e calcadas de modo a conseguir-se a melhor compactação do terreno. Este trabalho bem como a reposição do pavimento faz parte da presente empreitada. No enfiamento do cabo deve haver o cuidado de não lhe dar esticões. Só será permitido curvar o cabo desde que o seu raio não seja inferior a 15 (quinze) vezes o seu diâmetro exterior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1" w:name="_Toc211757115"/>
      <w:r>
        <w:rPr>
          <w:rFonts w:asciiTheme="minorHAnsi" w:hAnsiTheme="minorHAnsi"/>
          <w:b/>
          <w:sz w:val="22"/>
          <w:szCs w:val="22"/>
        </w:rPr>
        <w:t>Cláusula 39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 xml:space="preserve">Cabos </w:t>
      </w:r>
      <w:proofErr w:type="spellStart"/>
      <w:r w:rsidRPr="00A43781">
        <w:rPr>
          <w:rFonts w:asciiTheme="minorHAnsi" w:hAnsiTheme="minorHAnsi"/>
          <w:b/>
          <w:sz w:val="22"/>
          <w:szCs w:val="22"/>
        </w:rPr>
        <w:t>Eléctricos</w:t>
      </w:r>
      <w:proofErr w:type="spellEnd"/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a utilizar na instalação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eléctrica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serão fabricados de acordo com as normas aplicáveis em vigor. As secções de todos os condutores encontram-se assinaladas em desenhos, entendendo-se estes valores como mínimos, não sendo permitido em caso algum, a sua diminuição.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a aplicar serão absolutamente novos, com comprimentos </w:t>
      </w:r>
      <w:proofErr w:type="spellStart"/>
      <w:r w:rsidRPr="00A43781">
        <w:rPr>
          <w:rFonts w:asciiTheme="minorHAnsi" w:hAnsiTheme="minorHAnsi"/>
          <w:sz w:val="22"/>
          <w:szCs w:val="22"/>
        </w:rPr>
        <w:t>correctamente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realizados, pois não serão permitidas </w:t>
      </w:r>
      <w:proofErr w:type="spellStart"/>
      <w:r w:rsidRPr="00A43781">
        <w:rPr>
          <w:rFonts w:asciiTheme="minorHAnsi" w:hAnsiTheme="minorHAnsi"/>
          <w:sz w:val="22"/>
          <w:szCs w:val="22"/>
        </w:rPr>
        <w:t>torçadas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ou emendas de condutores ou cabos.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Quando instalados em locais onde possam sofrer danos, deverão ser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projectados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mecanicamente, por tubos de ferro galvanizado com diâmetro adequado à secção do cabo a proteger, segundo as normas e regulamentos em vigor.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Todos os 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deverão estar referenciados com etiquetas, de modo a facilitar a sua identificação. Serão colocados, nas duas extremidades ou em pontos, que pela natureza das esteiras ou de cruzamentos tornem difícil a identificação dos circuitos. As etiquetas deverão ser de boa qualidade e durabilidade.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Em toda a instalação deverá ser respeitado o seguinte código de cores do isolamento de: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de fase - preto ou castanho;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 de neutro - azul;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condutor de </w:t>
      </w:r>
      <w:proofErr w:type="spellStart"/>
      <w:r w:rsidRPr="00A43781">
        <w:rPr>
          <w:rFonts w:asciiTheme="minorHAnsi" w:hAnsiTheme="minorHAnsi"/>
          <w:sz w:val="22"/>
          <w:szCs w:val="22"/>
        </w:rPr>
        <w:t>protecção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- verde/amarelo.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para montagem subterrânea, serão armados e do tipo LVAV e VAV - 0.6/1 KV, fabricados e </w:t>
      </w:r>
      <w:proofErr w:type="spellStart"/>
      <w:r w:rsidRPr="00A43781">
        <w:rPr>
          <w:rFonts w:asciiTheme="minorHAnsi" w:hAnsiTheme="minorHAnsi"/>
          <w:sz w:val="22"/>
          <w:szCs w:val="22"/>
        </w:rPr>
        <w:t>ensaidos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cordo com a NP - 2365, com as seguintes </w:t>
      </w:r>
      <w:proofErr w:type="spellStart"/>
      <w:r w:rsidRPr="00A43781">
        <w:rPr>
          <w:rFonts w:asciiTheme="minorHAnsi" w:hAnsiTheme="minorHAnsi"/>
          <w:sz w:val="22"/>
          <w:szCs w:val="22"/>
        </w:rPr>
        <w:t>caracteristícas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principais: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Secção e número de condutores indicados nos desenhos do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projecto</w:t>
      </w:r>
      <w:proofErr w:type="spellEnd"/>
      <w:r w:rsidRPr="00A43781">
        <w:rPr>
          <w:rFonts w:asciiTheme="minorHAnsi" w:hAnsiTheme="minorHAnsi"/>
          <w:sz w:val="22"/>
          <w:szCs w:val="22"/>
        </w:rPr>
        <w:t>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rígidos de cobre macio ou alumínio;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Tensão nominal: 600/1000 V;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lastRenderedPageBreak/>
        <w:t xml:space="preserve">- Isolamento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nas cores convencionais;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Bainha interior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Bainha exterior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em cor negra;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para ligação das lanternas L2 e L3 e serão do tipo  VV, fabricados de acordo com a NP - 2356, com as seguintes </w:t>
      </w:r>
      <w:proofErr w:type="spellStart"/>
      <w:r w:rsidRPr="00A43781">
        <w:rPr>
          <w:rFonts w:asciiTheme="minorHAnsi" w:hAnsiTheme="minorHAnsi"/>
          <w:sz w:val="22"/>
          <w:szCs w:val="22"/>
        </w:rPr>
        <w:t>caracteristícas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principais: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Secção e número de condutores indicados no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projecto</w:t>
      </w:r>
      <w:proofErr w:type="spellEnd"/>
      <w:r w:rsidRPr="00A43781">
        <w:rPr>
          <w:rFonts w:asciiTheme="minorHAnsi" w:hAnsiTheme="minorHAnsi"/>
          <w:sz w:val="22"/>
          <w:szCs w:val="22"/>
        </w:rPr>
        <w:t>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flexíveis de cobre macio;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Tensão nominal: 300/500 V;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Isolamento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nas cores convencionais;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Bainha exterior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de cor creme;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Código: 305 100.</w:t>
      </w:r>
      <w:r w:rsidRPr="0022167B">
        <w:rPr>
          <w:rFonts w:asciiTheme="minorHAnsi" w:hAnsiTheme="minorHAnsi"/>
          <w:sz w:val="22"/>
          <w:szCs w:val="22"/>
        </w:rPr>
        <w:t xml:space="preserve">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2" w:name="_Toc211757116"/>
      <w:r>
        <w:rPr>
          <w:rFonts w:asciiTheme="minorHAnsi" w:hAnsiTheme="minorHAnsi"/>
          <w:b/>
          <w:sz w:val="22"/>
          <w:szCs w:val="22"/>
        </w:rPr>
        <w:t>Cláusula 40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>Câmaras de Visita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As câmaras de visita, designadas por CV1, deverão possuir as seguintes características: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Dimensões interiores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comprimento - 1.20 m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largura -  0.75 m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profundidade - 1.1 m  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Paredes construídas com blocos de betão maciço com 40*20*20 cm e de resistência mínima à compressão  de 100 Kg/cm2. A parte superior será fechada por lintel.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Laje de fundo em betão simples com 15 cm de espessura construída em cimento, areia e brita ao traço 1:4:5.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 fecho da câmara será assegurado por aro e tampa.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 aro será construído em cantoneira de aço galvanizado, ancorado no topo das paredes por chumbadouros ligados ao lintel do corpo da câmara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 tampa, constituída por dois elementos iguais, será construída em aço, e dimensionada para suportar trânsito de viaturas pesadas. Será rebaixada para receber o revestimento do pavimento em que estiver inserida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3" w:name="_Toc211757118"/>
      <w:r>
        <w:rPr>
          <w:rFonts w:asciiTheme="minorHAnsi" w:hAnsiTheme="minorHAnsi"/>
          <w:b/>
          <w:sz w:val="22"/>
          <w:szCs w:val="22"/>
        </w:rPr>
        <w:t>Cláusula 41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>Recursos Hídricos Linhas de Água - Limpeza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1. Definições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Limpeza: Todos os trabalhos, no que respeita à execução de obras hidráulicas, nomeadamente de </w:t>
      </w:r>
      <w:proofErr w:type="spellStart"/>
      <w:r w:rsidRPr="00A43781">
        <w:rPr>
          <w:rFonts w:asciiTheme="minorHAnsi" w:hAnsiTheme="minorHAnsi"/>
          <w:sz w:val="22"/>
          <w:szCs w:val="22"/>
        </w:rPr>
        <w:t>correcção</w:t>
      </w:r>
      <w:proofErr w:type="spellEnd"/>
      <w:r w:rsidRPr="00A43781">
        <w:rPr>
          <w:rFonts w:asciiTheme="minorHAnsi" w:hAnsiTheme="minorHAnsi"/>
          <w:sz w:val="22"/>
          <w:szCs w:val="22"/>
        </w:rPr>
        <w:t>, regularização, conservação, desobstrução e limpeza do leito e margens.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Leito: O leito é limitado pela linha que corresponder à extrema dos terrenos que as águas cobrem em condições de cheias médias, sem transbordar o solo natural, habitualmente enxuto.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Margem: Faixa de terreno contígua à linha que limita o leito das águas, tendo uma largura igual a 10 m.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lastRenderedPageBreak/>
        <w:t>2. Aplicações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Todos os terrenos que se situam nas margens das linhas de água, inseridas nas áreas urbanas, urbanizáveis e industriais, estão sujeitos a servidões e restrições de utilidade pública.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A servidão da margem tem por finalidade permitir o livre acesso à linha de água, sempre que for necessária a intervenção da </w:t>
      </w:r>
      <w:proofErr w:type="spellStart"/>
      <w:r w:rsidRPr="00A43781">
        <w:rPr>
          <w:rFonts w:asciiTheme="minorHAnsi" w:hAnsiTheme="minorHAnsi"/>
          <w:sz w:val="22"/>
          <w:szCs w:val="22"/>
        </w:rPr>
        <w:t>protecção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civil ou dos serviços camarários, quando os proprietários dos terrenos não procedam às obras de regularização e limpeza necessárias, e tenham sido para o efeito devidamente avisados. Sem prejuízo da legislação em vigor, pretende-se também evitar a ocupação dos terrenos contíguos a linhas de água, que seja incompatível com o seu funcionamento.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3. Especificações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Construções, vedações e plantações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Nos terrenos confinantes com linhas de água, as construções, vedações e plantações ficam condicionados ao seguinte:</w:t>
      </w:r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A4EDC1C" wp14:editId="0E5EC164">
            <wp:extent cx="6059805" cy="29324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293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A43781" w:rsidRDefault="00EB43ED" w:rsidP="008B3E57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531B42" w:rsidRPr="00F71F8D" w:rsidRDefault="00531B42" w:rsidP="00EB43ED">
      <w:pPr>
        <w:spacing w:before="120"/>
        <w:jc w:val="center"/>
        <w:rPr>
          <w:rFonts w:asciiTheme="minorHAnsi" w:hAnsiTheme="minorHAnsi"/>
        </w:rPr>
      </w:pPr>
    </w:p>
    <w:sectPr w:rsidR="00531B42" w:rsidRPr="00F71F8D" w:rsidSect="004864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224" w:rsidRDefault="00E16224" w:rsidP="00486460">
      <w:r>
        <w:separator/>
      </w:r>
    </w:p>
  </w:endnote>
  <w:endnote w:type="continuationSeparator" w:id="0">
    <w:p w:rsidR="00E16224" w:rsidRDefault="00E16224" w:rsidP="0048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ylus BT"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721 Lt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ArialNegritoItálico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2EAA3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224" w:rsidRPr="00F71F8D" w:rsidRDefault="003C2029">
    <w:pPr>
      <w:pStyle w:val="Rodap"/>
      <w:jc w:val="center"/>
      <w:rPr>
        <w:rFonts w:asciiTheme="minorHAnsi" w:hAnsiTheme="minorHAnsi"/>
        <w:b/>
        <w:i/>
        <w:sz w:val="18"/>
        <w:szCs w:val="18"/>
      </w:rPr>
    </w:pPr>
    <w:r w:rsidRPr="00F71F8D">
      <w:rPr>
        <w:rFonts w:asciiTheme="minorHAnsi" w:hAnsiTheme="minorHAnsi"/>
        <w:b/>
        <w:i/>
        <w:sz w:val="18"/>
        <w:szCs w:val="18"/>
      </w:rPr>
      <w:t>Caderno de Encargos</w:t>
    </w:r>
    <w:r w:rsidR="00EB43ED">
      <w:rPr>
        <w:rFonts w:asciiTheme="minorHAnsi" w:hAnsiTheme="minorHAnsi"/>
        <w:b/>
        <w:i/>
        <w:sz w:val="18"/>
        <w:szCs w:val="18"/>
      </w:rPr>
      <w:t xml:space="preserve"> – Cláusulas Técnicas</w:t>
    </w:r>
  </w:p>
  <w:p w:rsidR="00E16224" w:rsidRPr="00F71F8D" w:rsidRDefault="003756CB">
    <w:pPr>
      <w:pStyle w:val="Rodap"/>
      <w:jc w:val="center"/>
      <w:rPr>
        <w:rFonts w:asciiTheme="minorHAnsi" w:hAnsiTheme="minorHAnsi"/>
        <w:b/>
        <w:i/>
        <w:sz w:val="18"/>
        <w:szCs w:val="18"/>
      </w:rPr>
    </w:pPr>
    <w:sdt>
      <w:sdtPr>
        <w:rPr>
          <w:rFonts w:asciiTheme="minorHAnsi" w:hAnsiTheme="minorHAnsi"/>
          <w:b/>
          <w:i/>
          <w:sz w:val="18"/>
          <w:szCs w:val="18"/>
        </w:rPr>
        <w:id w:val="975410295"/>
        <w:docPartObj>
          <w:docPartGallery w:val="Page Numbers (Bottom of Page)"/>
          <w:docPartUnique/>
        </w:docPartObj>
      </w:sdtPr>
      <w:sdtEndPr/>
      <w:sdtContent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begin"/>
        </w:r>
        <w:r w:rsidR="00E16224" w:rsidRPr="00F71F8D">
          <w:rPr>
            <w:rFonts w:asciiTheme="minorHAnsi" w:hAnsiTheme="minorHAnsi"/>
            <w:b/>
            <w:i/>
            <w:sz w:val="18"/>
            <w:szCs w:val="18"/>
          </w:rPr>
          <w:instrText>PAGE   \* MERGEFORMAT</w:instrText>
        </w:r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separate"/>
        </w:r>
        <w:r>
          <w:rPr>
            <w:rFonts w:asciiTheme="minorHAnsi" w:hAnsiTheme="minorHAnsi"/>
            <w:b/>
            <w:i/>
            <w:noProof/>
            <w:sz w:val="18"/>
            <w:szCs w:val="18"/>
          </w:rPr>
          <w:t>4</w:t>
        </w:r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end"/>
        </w:r>
      </w:sdtContent>
    </w:sdt>
  </w:p>
  <w:p w:rsidR="00E16224" w:rsidRPr="00486460" w:rsidRDefault="00E16224">
    <w:pPr>
      <w:pStyle w:val="Rodap"/>
      <w:rPr>
        <w:rFonts w:asciiTheme="majorHAnsi" w:hAnsiTheme="majorHAnsi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224" w:rsidRDefault="00E16224" w:rsidP="00486460">
      <w:r>
        <w:separator/>
      </w:r>
    </w:p>
  </w:footnote>
  <w:footnote w:type="continuationSeparator" w:id="0">
    <w:p w:rsidR="00E16224" w:rsidRDefault="00E16224" w:rsidP="00486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6CB" w:rsidRPr="00B81B4D" w:rsidRDefault="003756CB" w:rsidP="003756CB">
    <w:pPr>
      <w:pStyle w:val="Cabealho"/>
      <w:pBdr>
        <w:bottom w:val="single" w:sz="8" w:space="1" w:color="808080"/>
      </w:pBdr>
      <w:spacing w:line="100" w:lineRule="atLeast"/>
      <w:jc w:val="center"/>
      <w:rPr>
        <w:rFonts w:ascii="Cambria" w:hAnsi="Cambria"/>
        <w:sz w:val="18"/>
        <w:szCs w:val="18"/>
      </w:rPr>
    </w:pPr>
    <w:r w:rsidRPr="00B81B4D">
      <w:rPr>
        <w:rFonts w:asciiTheme="minorHAnsi" w:hAnsiTheme="minorHAnsi" w:cs="ArialNegritoItálico,Bold"/>
        <w:bCs/>
        <w:i/>
        <w:smallCaps/>
        <w:sz w:val="18"/>
        <w:szCs w:val="18"/>
      </w:rPr>
      <w:t>Rally de Portugal 2018 – Trabalhos a executar no circuito e acessos – 78/18_CPR_E</w:t>
    </w:r>
  </w:p>
  <w:p w:rsidR="00E16224" w:rsidRPr="003D63F1" w:rsidRDefault="00E16224" w:rsidP="00486460">
    <w:pPr>
      <w:pStyle w:val="Cabealho"/>
      <w:pBdr>
        <w:bottom w:val="single" w:sz="8" w:space="1" w:color="808080"/>
      </w:pBdr>
      <w:spacing w:line="100" w:lineRule="atLeast"/>
      <w:rPr>
        <w:rFonts w:ascii="Cambria" w:hAnsi="Cambria"/>
      </w:rPr>
    </w:pPr>
  </w:p>
  <w:p w:rsidR="00E16224" w:rsidRPr="00486460" w:rsidRDefault="00E1622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3BC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D5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334A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1241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295C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E5B81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6B9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F2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D14E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D04A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51FE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23AC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86176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517ED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C1B9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2663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4751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A2A2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21F2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456EC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C049D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6579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D1D47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B6DB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E3A7E"/>
    <w:multiLevelType w:val="hybridMultilevel"/>
    <w:tmpl w:val="849CFA62"/>
    <w:lvl w:ilvl="0" w:tplc="0F0CBA4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pStyle w:val="head3-texto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3C4B4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A7146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4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21"/>
  </w:num>
  <w:num w:numId="10">
    <w:abstractNumId w:val="22"/>
  </w:num>
  <w:num w:numId="11">
    <w:abstractNumId w:val="16"/>
  </w:num>
  <w:num w:numId="12">
    <w:abstractNumId w:val="17"/>
  </w:num>
  <w:num w:numId="13">
    <w:abstractNumId w:val="8"/>
  </w:num>
  <w:num w:numId="14">
    <w:abstractNumId w:val="25"/>
  </w:num>
  <w:num w:numId="15">
    <w:abstractNumId w:val="11"/>
  </w:num>
  <w:num w:numId="16">
    <w:abstractNumId w:val="10"/>
  </w:num>
  <w:num w:numId="17">
    <w:abstractNumId w:val="26"/>
  </w:num>
  <w:num w:numId="18">
    <w:abstractNumId w:val="12"/>
  </w:num>
  <w:num w:numId="19">
    <w:abstractNumId w:val="20"/>
  </w:num>
  <w:num w:numId="20">
    <w:abstractNumId w:val="18"/>
  </w:num>
  <w:num w:numId="21">
    <w:abstractNumId w:val="19"/>
  </w:num>
  <w:num w:numId="22">
    <w:abstractNumId w:val="5"/>
  </w:num>
  <w:num w:numId="23">
    <w:abstractNumId w:val="15"/>
  </w:num>
  <w:num w:numId="24">
    <w:abstractNumId w:val="23"/>
  </w:num>
  <w:num w:numId="25">
    <w:abstractNumId w:val="2"/>
  </w:num>
  <w:num w:numId="26">
    <w:abstractNumId w:val="9"/>
  </w:num>
  <w:num w:numId="2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60"/>
    <w:rsid w:val="000A12C3"/>
    <w:rsid w:val="000C4117"/>
    <w:rsid w:val="000C7DD2"/>
    <w:rsid w:val="001F04F0"/>
    <w:rsid w:val="001F75BC"/>
    <w:rsid w:val="002001C8"/>
    <w:rsid w:val="00216578"/>
    <w:rsid w:val="0022636A"/>
    <w:rsid w:val="00317570"/>
    <w:rsid w:val="003329DD"/>
    <w:rsid w:val="0036716D"/>
    <w:rsid w:val="003756CB"/>
    <w:rsid w:val="00376FAB"/>
    <w:rsid w:val="003C2029"/>
    <w:rsid w:val="003D7C80"/>
    <w:rsid w:val="00486460"/>
    <w:rsid w:val="004A5FF0"/>
    <w:rsid w:val="004B6858"/>
    <w:rsid w:val="004C35E0"/>
    <w:rsid w:val="004D775A"/>
    <w:rsid w:val="00507690"/>
    <w:rsid w:val="00531B42"/>
    <w:rsid w:val="005C0116"/>
    <w:rsid w:val="0063358A"/>
    <w:rsid w:val="00635D5D"/>
    <w:rsid w:val="006538FE"/>
    <w:rsid w:val="00674698"/>
    <w:rsid w:val="006B36AD"/>
    <w:rsid w:val="006E2AD7"/>
    <w:rsid w:val="00722B62"/>
    <w:rsid w:val="007C7B2C"/>
    <w:rsid w:val="008B3E57"/>
    <w:rsid w:val="00900A49"/>
    <w:rsid w:val="0090413A"/>
    <w:rsid w:val="00931623"/>
    <w:rsid w:val="00961413"/>
    <w:rsid w:val="009B037B"/>
    <w:rsid w:val="009C3CBB"/>
    <w:rsid w:val="009D2821"/>
    <w:rsid w:val="009E6942"/>
    <w:rsid w:val="00A112F1"/>
    <w:rsid w:val="00AC0349"/>
    <w:rsid w:val="00B55340"/>
    <w:rsid w:val="00C10E56"/>
    <w:rsid w:val="00C27156"/>
    <w:rsid w:val="00C7013F"/>
    <w:rsid w:val="00D23A51"/>
    <w:rsid w:val="00D53D90"/>
    <w:rsid w:val="00D732CA"/>
    <w:rsid w:val="00DA57B3"/>
    <w:rsid w:val="00DE66E2"/>
    <w:rsid w:val="00DF1936"/>
    <w:rsid w:val="00E16224"/>
    <w:rsid w:val="00E7244A"/>
    <w:rsid w:val="00EB43ED"/>
    <w:rsid w:val="00F137B4"/>
    <w:rsid w:val="00F240EC"/>
    <w:rsid w:val="00F45111"/>
    <w:rsid w:val="00F54352"/>
    <w:rsid w:val="00F71F8D"/>
    <w:rsid w:val="00F81A82"/>
    <w:rsid w:val="00F9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B7E02F"/>
  <w15:docId w15:val="{11783931-241B-40BB-BACA-6789CF4D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460"/>
    <w:rPr>
      <w:sz w:val="24"/>
      <w:szCs w:val="24"/>
      <w:lang w:eastAsia="pt-PT"/>
    </w:rPr>
  </w:style>
  <w:style w:type="paragraph" w:styleId="Cabealho1">
    <w:name w:val="heading 1"/>
    <w:basedOn w:val="Normal"/>
    <w:next w:val="Normal"/>
    <w:link w:val="Cabealho1Carter"/>
    <w:qFormat/>
    <w:locked/>
    <w:rsid w:val="00486460"/>
    <w:pPr>
      <w:keepNext/>
      <w:spacing w:line="360" w:lineRule="auto"/>
      <w:jc w:val="both"/>
      <w:outlineLvl w:val="0"/>
    </w:pPr>
    <w:rPr>
      <w:b/>
      <w:szCs w:val="20"/>
    </w:rPr>
  </w:style>
  <w:style w:type="paragraph" w:styleId="Cabealho2">
    <w:name w:val="heading 2"/>
    <w:basedOn w:val="Normal"/>
    <w:next w:val="Normal"/>
    <w:link w:val="Cabealho2Carter"/>
    <w:unhideWhenUsed/>
    <w:qFormat/>
    <w:locked/>
    <w:rsid w:val="009C3C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qFormat/>
    <w:locked/>
    <w:rsid w:val="004864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abealho4">
    <w:name w:val="heading 4"/>
    <w:basedOn w:val="Normal"/>
    <w:next w:val="Normal"/>
    <w:link w:val="Cabealho4Carter"/>
    <w:qFormat/>
    <w:locked/>
    <w:rsid w:val="00486460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Cabealho5">
    <w:name w:val="heading 5"/>
    <w:basedOn w:val="Normal"/>
    <w:next w:val="Normal"/>
    <w:link w:val="Cabealho5Carter"/>
    <w:qFormat/>
    <w:locked/>
    <w:rsid w:val="00486460"/>
    <w:pPr>
      <w:keepNext/>
      <w:spacing w:line="360" w:lineRule="auto"/>
      <w:outlineLvl w:val="4"/>
    </w:pPr>
    <w:rPr>
      <w:rFonts w:ascii="Arial" w:hAnsi="Arial" w:cs="Arial"/>
      <w:b/>
      <w:sz w:val="20"/>
      <w:szCs w:val="20"/>
    </w:rPr>
  </w:style>
  <w:style w:type="paragraph" w:styleId="Cabealho6">
    <w:name w:val="heading 6"/>
    <w:basedOn w:val="Normal"/>
    <w:next w:val="Normal"/>
    <w:link w:val="Cabealho6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center"/>
      <w:outlineLvl w:val="5"/>
    </w:pPr>
    <w:rPr>
      <w:b/>
      <w:sz w:val="20"/>
      <w:szCs w:val="20"/>
      <w:u w:val="single"/>
      <w:lang w:val="en-GB"/>
    </w:rPr>
  </w:style>
  <w:style w:type="paragraph" w:styleId="Cabealho7">
    <w:name w:val="heading 7"/>
    <w:basedOn w:val="Normal"/>
    <w:next w:val="Normal"/>
    <w:link w:val="Cabealho7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6"/>
    </w:pPr>
    <w:rPr>
      <w:rFonts w:ascii="Arial" w:hAnsi="Arial"/>
      <w:b/>
      <w:sz w:val="18"/>
      <w:szCs w:val="20"/>
      <w:u w:val="single"/>
      <w:lang w:val="en-GB"/>
    </w:rPr>
  </w:style>
  <w:style w:type="paragraph" w:styleId="Cabealho8">
    <w:name w:val="heading 8"/>
    <w:basedOn w:val="Normal"/>
    <w:next w:val="Normal"/>
    <w:link w:val="Cabealho8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  <w:sz w:val="18"/>
      <w:szCs w:val="20"/>
      <w:lang w:val="en-GB"/>
    </w:rPr>
  </w:style>
  <w:style w:type="paragraph" w:styleId="Cabealho9">
    <w:name w:val="heading 9"/>
    <w:basedOn w:val="Normal"/>
    <w:next w:val="Normal"/>
    <w:link w:val="Cabealho9Carter"/>
    <w:qFormat/>
    <w:locked/>
    <w:rsid w:val="0048646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rsid w:val="009C3C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nfase">
    <w:name w:val="Emphasis"/>
    <w:qFormat/>
    <w:locked/>
    <w:rsid w:val="009C3CBB"/>
    <w:rPr>
      <w:i/>
      <w:iCs/>
    </w:rPr>
  </w:style>
  <w:style w:type="paragraph" w:styleId="PargrafodaLista">
    <w:name w:val="List Paragraph"/>
    <w:basedOn w:val="Normal"/>
    <w:qFormat/>
    <w:rsid w:val="00C27156"/>
    <w:pPr>
      <w:shd w:val="clear" w:color="auto" w:fill="FFFFFF"/>
      <w:tabs>
        <w:tab w:val="left" w:pos="384"/>
      </w:tabs>
      <w:spacing w:before="120" w:after="120" w:line="280" w:lineRule="atLeast"/>
    </w:pPr>
    <w:rPr>
      <w:rFonts w:ascii="Gill Sans MT" w:hAnsi="Gill Sans MT" w:cs="Gill Sans MT"/>
      <w:b/>
      <w:bCs/>
      <w:color w:val="000000"/>
      <w:spacing w:val="8"/>
      <w:kern w:val="1"/>
    </w:rPr>
  </w:style>
  <w:style w:type="character" w:customStyle="1" w:styleId="Cabealho1Carter">
    <w:name w:val="Cabeçalho 1 Caráter"/>
    <w:basedOn w:val="Tipodeletrapredefinidodopargrafo"/>
    <w:link w:val="Cabealho1"/>
    <w:rsid w:val="00486460"/>
    <w:rPr>
      <w:b/>
      <w:sz w:val="24"/>
      <w:szCs w:val="20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rsid w:val="00486460"/>
    <w:rPr>
      <w:rFonts w:ascii="Arial" w:hAnsi="Arial" w:cs="Arial"/>
      <w:b/>
      <w:bCs/>
      <w:sz w:val="26"/>
      <w:szCs w:val="26"/>
      <w:lang w:eastAsia="pt-PT"/>
    </w:rPr>
  </w:style>
  <w:style w:type="character" w:customStyle="1" w:styleId="Cabealho4Carter">
    <w:name w:val="Cabeçalho 4 Caráter"/>
    <w:basedOn w:val="Tipodeletrapredefinidodopargrafo"/>
    <w:link w:val="Cabealho4"/>
    <w:rsid w:val="00486460"/>
    <w:rPr>
      <w:rFonts w:ascii="Arial" w:hAnsi="Arial" w:cs="Arial"/>
      <w:b/>
      <w:bCs/>
      <w:sz w:val="20"/>
      <w:szCs w:val="20"/>
      <w:lang w:eastAsia="pt-PT"/>
    </w:rPr>
  </w:style>
  <w:style w:type="character" w:customStyle="1" w:styleId="Cabealho5Carter">
    <w:name w:val="Cabeçalho 5 Caráter"/>
    <w:basedOn w:val="Tipodeletrapredefinidodopargrafo"/>
    <w:link w:val="Cabealho5"/>
    <w:rsid w:val="00486460"/>
    <w:rPr>
      <w:rFonts w:ascii="Arial" w:hAnsi="Arial" w:cs="Arial"/>
      <w:b/>
      <w:sz w:val="20"/>
      <w:szCs w:val="20"/>
      <w:lang w:eastAsia="pt-PT"/>
    </w:rPr>
  </w:style>
  <w:style w:type="character" w:customStyle="1" w:styleId="Cabealho6Carter">
    <w:name w:val="Cabeçalho 6 Caráter"/>
    <w:basedOn w:val="Tipodeletrapredefinidodopargrafo"/>
    <w:link w:val="Cabealho6"/>
    <w:rsid w:val="00486460"/>
    <w:rPr>
      <w:b/>
      <w:sz w:val="20"/>
      <w:szCs w:val="20"/>
      <w:u w:val="single"/>
      <w:lang w:val="en-GB" w:eastAsia="pt-PT"/>
    </w:rPr>
  </w:style>
  <w:style w:type="character" w:customStyle="1" w:styleId="Cabealho7Carter">
    <w:name w:val="Cabeçalho 7 Caráter"/>
    <w:basedOn w:val="Tipodeletrapredefinidodopargrafo"/>
    <w:link w:val="Cabealho7"/>
    <w:rsid w:val="00486460"/>
    <w:rPr>
      <w:rFonts w:ascii="Arial" w:hAnsi="Arial"/>
      <w:b/>
      <w:sz w:val="18"/>
      <w:szCs w:val="20"/>
      <w:u w:val="single"/>
      <w:lang w:val="en-GB" w:eastAsia="pt-PT"/>
    </w:rPr>
  </w:style>
  <w:style w:type="character" w:customStyle="1" w:styleId="Cabealho8Carter">
    <w:name w:val="Cabeçalho 8 Caráter"/>
    <w:basedOn w:val="Tipodeletrapredefinidodopargrafo"/>
    <w:link w:val="Cabealho8"/>
    <w:rsid w:val="00486460"/>
    <w:rPr>
      <w:rFonts w:ascii="Arial" w:hAnsi="Arial"/>
      <w:b/>
      <w:sz w:val="18"/>
      <w:szCs w:val="20"/>
      <w:lang w:val="en-GB" w:eastAsia="pt-PT"/>
    </w:rPr>
  </w:style>
  <w:style w:type="character" w:customStyle="1" w:styleId="Cabealho9Carter">
    <w:name w:val="Cabeçalho 9 Caráter"/>
    <w:basedOn w:val="Tipodeletrapredefinidodopargrafo"/>
    <w:link w:val="Cabealho9"/>
    <w:rsid w:val="00486460"/>
    <w:rPr>
      <w:rFonts w:ascii="Arial" w:hAnsi="Arial" w:cs="Arial"/>
      <w:lang w:eastAsia="pt-PT"/>
    </w:rPr>
  </w:style>
  <w:style w:type="character" w:styleId="Hiperligao">
    <w:name w:val="Hyperlink"/>
    <w:rsid w:val="00486460"/>
    <w:rPr>
      <w:color w:val="0000FF"/>
      <w:u w:val="single"/>
    </w:rPr>
  </w:style>
  <w:style w:type="paragraph" w:styleId="Rodap">
    <w:name w:val="footer"/>
    <w:basedOn w:val="Normal"/>
    <w:link w:val="RodapCarter"/>
    <w:uiPriority w:val="99"/>
    <w:rsid w:val="0048646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486460"/>
    <w:rPr>
      <w:sz w:val="24"/>
      <w:szCs w:val="24"/>
      <w:lang w:eastAsia="pt-PT"/>
    </w:rPr>
  </w:style>
  <w:style w:type="character" w:styleId="Nmerodepgina">
    <w:name w:val="page number"/>
    <w:basedOn w:val="Tipodeletrapredefinidodopargrafo"/>
    <w:rsid w:val="00486460"/>
  </w:style>
  <w:style w:type="paragraph" w:styleId="Cabealho">
    <w:name w:val="header"/>
    <w:basedOn w:val="Normal"/>
    <w:link w:val="CabealhoCarter"/>
    <w:rsid w:val="0048646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486460"/>
    <w:rPr>
      <w:sz w:val="24"/>
      <w:szCs w:val="24"/>
    </w:rPr>
  </w:style>
  <w:style w:type="table" w:styleId="Tabelacomgrelha">
    <w:name w:val="Table Grid"/>
    <w:basedOn w:val="Tabelanormal"/>
    <w:rsid w:val="00486460"/>
    <w:rPr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nhideWhenUsed/>
    <w:rsid w:val="00486460"/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486460"/>
    <w:rPr>
      <w:rFonts w:ascii="Tahoma" w:hAnsi="Tahoma"/>
      <w:sz w:val="16"/>
      <w:szCs w:val="16"/>
    </w:rPr>
  </w:style>
  <w:style w:type="paragraph" w:customStyle="1" w:styleId="EstiloTtulo2ArialNarrow9ptNoItlicoCentradoAntes3">
    <w:name w:val="Estilo Título 2 + Arial Narrow 9 pt Não Itálico Centrado Antes: ...3"/>
    <w:basedOn w:val="Cabealho2"/>
    <w:rsid w:val="00486460"/>
    <w:pPr>
      <w:keepLines w:val="0"/>
      <w:spacing w:before="0" w:after="120"/>
      <w:jc w:val="center"/>
    </w:pPr>
    <w:rPr>
      <w:rFonts w:ascii="Arial Narrow" w:eastAsia="Times New Roman" w:hAnsi="Arial Narrow" w:cs="Times New Roman"/>
      <w:color w:val="auto"/>
      <w:sz w:val="18"/>
      <w:szCs w:val="20"/>
    </w:rPr>
  </w:style>
  <w:style w:type="paragraph" w:customStyle="1" w:styleId="EstiloTtulo2ArialNarrow9ptNoItlicoCentrado">
    <w:name w:val="Estilo Título 2 + Arial Narrow 9 pt Não Itálico Centrado"/>
    <w:basedOn w:val="Cabealho2"/>
    <w:autoRedefine/>
    <w:rsid w:val="00486460"/>
    <w:pPr>
      <w:keepLines w:val="0"/>
      <w:spacing w:before="0" w:after="120"/>
      <w:jc w:val="center"/>
    </w:pPr>
    <w:rPr>
      <w:rFonts w:ascii="Arial Narrow" w:eastAsia="Times New Roman" w:hAnsi="Arial Narrow" w:cs="Times New Roman"/>
      <w:color w:val="auto"/>
      <w:sz w:val="18"/>
      <w:szCs w:val="20"/>
    </w:rPr>
  </w:style>
  <w:style w:type="paragraph" w:styleId="Corpodetexto">
    <w:name w:val="Body Text"/>
    <w:basedOn w:val="Normal"/>
    <w:link w:val="CorpodetextoCarter"/>
    <w:rsid w:val="00486460"/>
    <w:pPr>
      <w:jc w:val="both"/>
    </w:pPr>
    <w:rPr>
      <w:rFonts w:ascii="Stylus BT" w:hAnsi="Stylus BT"/>
      <w:bCs/>
      <w:sz w:val="20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rsid w:val="00486460"/>
    <w:rPr>
      <w:rFonts w:ascii="Stylus BT" w:hAnsi="Stylus BT"/>
      <w:bCs/>
      <w:sz w:val="20"/>
      <w:szCs w:val="20"/>
      <w:lang w:eastAsia="pt-PT"/>
    </w:rPr>
  </w:style>
  <w:style w:type="paragraph" w:styleId="Ttulo">
    <w:name w:val="Title"/>
    <w:basedOn w:val="Normal"/>
    <w:link w:val="TtuloCarter"/>
    <w:qFormat/>
    <w:locked/>
    <w:rsid w:val="00486460"/>
    <w:pPr>
      <w:jc w:val="center"/>
    </w:pPr>
    <w:rPr>
      <w:rFonts w:ascii="Arial" w:hAnsi="Arial"/>
      <w:b/>
      <w:sz w:val="28"/>
      <w:szCs w:val="20"/>
    </w:rPr>
  </w:style>
  <w:style w:type="character" w:customStyle="1" w:styleId="TtuloCarter">
    <w:name w:val="Título Caráter"/>
    <w:basedOn w:val="Tipodeletrapredefinidodopargrafo"/>
    <w:link w:val="Ttulo"/>
    <w:rsid w:val="00486460"/>
    <w:rPr>
      <w:rFonts w:ascii="Arial" w:hAnsi="Arial"/>
      <w:b/>
      <w:sz w:val="28"/>
      <w:szCs w:val="20"/>
      <w:lang w:eastAsia="pt-PT"/>
    </w:rPr>
  </w:style>
  <w:style w:type="paragraph" w:styleId="Corpodetexto2">
    <w:name w:val="Body Text 2"/>
    <w:basedOn w:val="Normal"/>
    <w:link w:val="Corpodetexto2Carter"/>
    <w:rsid w:val="00486460"/>
    <w:pPr>
      <w:spacing w:after="120" w:line="480" w:lineRule="auto"/>
    </w:pPr>
    <w:rPr>
      <w:sz w:val="20"/>
      <w:szCs w:val="20"/>
    </w:rPr>
  </w:style>
  <w:style w:type="character" w:customStyle="1" w:styleId="Corpodetexto2Carter">
    <w:name w:val="Corpo de texto 2 Caráter"/>
    <w:basedOn w:val="Tipodeletrapredefinidodopargrafo"/>
    <w:link w:val="Corpodetexto2"/>
    <w:rsid w:val="00486460"/>
    <w:rPr>
      <w:sz w:val="20"/>
      <w:szCs w:val="20"/>
      <w:lang w:eastAsia="pt-PT"/>
    </w:rPr>
  </w:style>
  <w:style w:type="paragraph" w:styleId="Avanodecorpodetexto3">
    <w:name w:val="Body Text Indent 3"/>
    <w:basedOn w:val="Normal"/>
    <w:link w:val="Avanodecorpodetexto3Carter"/>
    <w:rsid w:val="00486460"/>
    <w:pPr>
      <w:spacing w:after="120"/>
      <w:ind w:left="283"/>
    </w:pPr>
    <w:rPr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486460"/>
    <w:rPr>
      <w:sz w:val="16"/>
      <w:szCs w:val="16"/>
      <w:lang w:eastAsia="pt-PT"/>
    </w:rPr>
  </w:style>
  <w:style w:type="paragraph" w:styleId="Avanodecorpodetexto2">
    <w:name w:val="Body Text Indent 2"/>
    <w:basedOn w:val="Normal"/>
    <w:link w:val="Avanodecorpodetexto2Carter"/>
    <w:rsid w:val="00486460"/>
    <w:pPr>
      <w:spacing w:after="120" w:line="480" w:lineRule="auto"/>
      <w:ind w:left="283"/>
    </w:pPr>
    <w:rPr>
      <w:sz w:val="20"/>
      <w:szCs w:val="20"/>
    </w:r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486460"/>
    <w:rPr>
      <w:sz w:val="20"/>
      <w:szCs w:val="20"/>
      <w:lang w:eastAsia="pt-PT"/>
    </w:rPr>
  </w:style>
  <w:style w:type="paragraph" w:styleId="Subttulo">
    <w:name w:val="Subtitle"/>
    <w:basedOn w:val="Normal"/>
    <w:link w:val="SubttuloCarter"/>
    <w:qFormat/>
    <w:locked/>
    <w:rsid w:val="00486460"/>
    <w:pPr>
      <w:jc w:val="center"/>
    </w:pPr>
    <w:rPr>
      <w:b/>
      <w:sz w:val="20"/>
      <w:szCs w:val="20"/>
    </w:rPr>
  </w:style>
  <w:style w:type="character" w:customStyle="1" w:styleId="SubttuloCarter">
    <w:name w:val="Subtítulo Caráter"/>
    <w:basedOn w:val="Tipodeletrapredefinidodopargrafo"/>
    <w:link w:val="Subttulo"/>
    <w:rsid w:val="00486460"/>
    <w:rPr>
      <w:b/>
      <w:sz w:val="20"/>
      <w:szCs w:val="20"/>
      <w:lang w:eastAsia="pt-PT"/>
    </w:rPr>
  </w:style>
  <w:style w:type="paragraph" w:customStyle="1" w:styleId="Corpodetexto21">
    <w:name w:val="Corpo de texto 21"/>
    <w:basedOn w:val="Normal"/>
    <w:rsid w:val="00486460"/>
    <w:pPr>
      <w:spacing w:line="362" w:lineRule="atLeast"/>
      <w:ind w:left="-142"/>
      <w:jc w:val="both"/>
    </w:pPr>
    <w:rPr>
      <w:rFonts w:ascii="Arial" w:hAnsi="Arial"/>
      <w:sz w:val="20"/>
      <w:szCs w:val="20"/>
    </w:rPr>
  </w:style>
  <w:style w:type="paragraph" w:styleId="Corpodetexto3">
    <w:name w:val="Body Text 3"/>
    <w:basedOn w:val="Normal"/>
    <w:link w:val="Corpodetexto3Carter"/>
    <w:rsid w:val="0048646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both"/>
    </w:pPr>
    <w:rPr>
      <w:rFonts w:ascii="Arial" w:hAnsi="Arial" w:cs="Arial"/>
      <w:sz w:val="16"/>
      <w:szCs w:val="20"/>
    </w:rPr>
  </w:style>
  <w:style w:type="character" w:customStyle="1" w:styleId="Corpodetexto3Carter">
    <w:name w:val="Corpo de texto 3 Caráter"/>
    <w:basedOn w:val="Tipodeletrapredefinidodopargrafo"/>
    <w:link w:val="Corpodetexto3"/>
    <w:rsid w:val="00486460"/>
    <w:rPr>
      <w:rFonts w:ascii="Arial" w:hAnsi="Arial" w:cs="Arial"/>
      <w:sz w:val="16"/>
      <w:szCs w:val="20"/>
      <w:lang w:eastAsia="pt-PT"/>
    </w:rPr>
  </w:style>
  <w:style w:type="paragraph" w:customStyle="1" w:styleId="head3-texto">
    <w:name w:val="head3-texto"/>
    <w:basedOn w:val="Cabealho3"/>
    <w:rsid w:val="00486460"/>
    <w:pPr>
      <w:widowControl w:val="0"/>
      <w:numPr>
        <w:ilvl w:val="2"/>
        <w:numId w:val="1"/>
      </w:numPr>
      <w:spacing w:before="120" w:after="0" w:line="312" w:lineRule="auto"/>
      <w:ind w:left="0" w:firstLine="0"/>
      <w:jc w:val="both"/>
    </w:pPr>
    <w:rPr>
      <w:rFonts w:cs="Times New Roman"/>
      <w:b w:val="0"/>
      <w:bCs w:val="0"/>
      <w:sz w:val="22"/>
      <w:szCs w:val="20"/>
    </w:rPr>
  </w:style>
  <w:style w:type="paragraph" w:customStyle="1" w:styleId="PargrafodaLista1">
    <w:name w:val="Parágrafo da Lista1"/>
    <w:basedOn w:val="Normal"/>
    <w:qFormat/>
    <w:rsid w:val="00486460"/>
    <w:pPr>
      <w:spacing w:after="120"/>
      <w:ind w:left="720"/>
      <w:contextualSpacing/>
    </w:pPr>
    <w:rPr>
      <w:rFonts w:eastAsia="Calibri"/>
      <w:spacing w:val="10"/>
      <w:sz w:val="20"/>
      <w:szCs w:val="22"/>
      <w:lang w:val="en-US" w:eastAsia="en-US"/>
    </w:rPr>
  </w:style>
  <w:style w:type="paragraph" w:styleId="Avanodecorpodetexto">
    <w:name w:val="Body Text Indent"/>
    <w:basedOn w:val="Normal"/>
    <w:link w:val="AvanodecorpodetextoCarter"/>
    <w:rsid w:val="00486460"/>
    <w:pPr>
      <w:spacing w:after="120"/>
      <w:ind w:left="283"/>
    </w:pPr>
    <w:rPr>
      <w:sz w:val="20"/>
      <w:szCs w:val="20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486460"/>
    <w:rPr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3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6868</Words>
  <Characters>37093</Characters>
  <Application>Microsoft Office Word</Application>
  <DocSecurity>0</DocSecurity>
  <Lines>309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CMPC</Company>
  <LinksUpToDate>false</LinksUpToDate>
  <CharactersWithSpaces>43874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Sofia Vieira Castilho</dc:creator>
  <cp:keywords/>
  <dc:description/>
  <cp:lastModifiedBy>Ana Dourado</cp:lastModifiedBy>
  <cp:revision>3</cp:revision>
  <cp:lastPrinted>2017-04-11T14:34:00Z</cp:lastPrinted>
  <dcterms:created xsi:type="dcterms:W3CDTF">2018-03-16T15:38:00Z</dcterms:created>
  <dcterms:modified xsi:type="dcterms:W3CDTF">2018-05-03T11:08:00Z</dcterms:modified>
</cp:coreProperties>
</file>